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7.xml" ContentType="application/vnd.openxmlformats-officedocument.wordprocessingml.footer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header7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margin" w:tblpXSpec="right" w:vertAnchor="page" w:tblpY="775" w:leftFromText="180" w:topFromText="0" w:rightFromText="180" w:bottomFromText="0"/>
        <w:tblW w:w="9108" w:type="dxa"/>
        <w:jc w:val="righ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9108"/>
      </w:tblGrid>
      <w:tr>
        <w:tblPrEx/>
        <w:trPr>
          <w:trHeight w:val="2250"/>
        </w:trPr>
        <w:tc>
          <w:tcPr>
            <w:tcW w:w="9108" w:type="dxa"/>
            <w:textDirection w:val="lrTb"/>
            <w:noWrap w:val="false"/>
          </w:tcPr>
          <w:p>
            <w:pPr>
              <w:pStyle w:val="913"/>
              <w:jc w:val="right"/>
              <w:tabs>
                <w:tab w:val="clear" w:pos="708" w:leader="none"/>
                <w:tab w:val="left" w:pos="3686" w:leader="none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</w:t>
            </w:r>
            <w:r>
              <w:rPr>
                <w:sz w:val="28"/>
                <w:szCs w:val="28"/>
              </w:rPr>
              <w:t xml:space="preserve">Приложение</w:t>
            </w:r>
            <w:r>
              <w:rPr>
                <w:sz w:val="28"/>
                <w:szCs w:val="28"/>
                <w:highlight w:val="yellow"/>
              </w:rPr>
            </w:r>
          </w:p>
          <w:p>
            <w:pPr>
              <w:pStyle w:val="913"/>
              <w:jc w:val="right"/>
              <w:tabs>
                <w:tab w:val="clear" w:pos="708" w:leader="none"/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к приказу Министерства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right"/>
              <w:tabs>
                <w:tab w:val="clear" w:pos="708" w:leader="none"/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</w:t>
            </w:r>
            <w:r>
              <w:rPr>
                <w:sz w:val="28"/>
                <w:szCs w:val="28"/>
              </w:rPr>
              <w:t xml:space="preserve">транспорта и дорожного хозяйства                              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right"/>
              <w:tabs>
                <w:tab w:val="clear" w:pos="708" w:leader="none"/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right"/>
              <w:tabs>
                <w:tab w:val="clear" w:pos="708" w:leader="none"/>
                <w:tab w:val="left" w:pos="368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от    </w:t>
            </w:r>
            <w:r>
              <w:rPr>
                <w:sz w:val="28"/>
                <w:szCs w:val="28"/>
              </w:rPr>
              <w:t xml:space="preserve">________</w:t>
            </w:r>
            <w:r>
              <w:rPr>
                <w:sz w:val="28"/>
                <w:szCs w:val="28"/>
                <w:u w:val="single"/>
              </w:rPr>
              <w:t xml:space="preserve">20</w:t>
            </w:r>
            <w:r>
              <w:rPr>
                <w:sz w:val="28"/>
                <w:szCs w:val="28"/>
                <w:u w:val="single"/>
                <w:lang w:val="en-US"/>
              </w:rPr>
              <w:t xml:space="preserve">2</w:t>
            </w:r>
            <w:r>
              <w:rPr>
                <w:sz w:val="28"/>
                <w:szCs w:val="28"/>
                <w:u w:val="single"/>
              </w:rPr>
              <w:t xml:space="preserve">5 г. </w:t>
            </w:r>
            <w:r>
              <w:rPr>
                <w:sz w:val="28"/>
                <w:szCs w:val="28"/>
              </w:rPr>
              <w:t xml:space="preserve">№__________</w:t>
            </w:r>
            <w:r>
              <w:rPr>
                <w:sz w:val="28"/>
                <w:szCs w:val="28"/>
              </w:rPr>
            </w:r>
          </w:p>
          <w:p>
            <w:pPr>
              <w:pStyle w:val="960"/>
              <w:numPr>
                <w:ilvl w:val="0"/>
                <w:numId w:val="0"/>
              </w:numPr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49"/>
        <w:tabs>
          <w:tab w:val="clear" w:pos="0" w:leader="none"/>
          <w:tab w:val="clear" w:pos="360" w:leader="none"/>
          <w:tab w:val="clear" w:pos="720" w:leader="none"/>
          <w:tab w:val="clear" w:pos="1440" w:leader="none"/>
          <w:tab w:val="clear" w:pos="2160" w:leader="none"/>
          <w:tab w:val="clear" w:pos="2880" w:leader="none"/>
          <w:tab w:val="clear" w:pos="3600" w:leader="none"/>
          <w:tab w:val="clear" w:pos="4320" w:leader="none"/>
          <w:tab w:val="clear" w:pos="5040" w:leader="none"/>
          <w:tab w:val="clear" w:pos="5760" w:leader="none"/>
          <w:tab w:val="clear" w:pos="6480" w:leader="none"/>
          <w:tab w:val="clear" w:pos="7200" w:leader="none"/>
          <w:tab w:val="clear" w:pos="7920" w:leader="none"/>
          <w:tab w:val="clear" w:pos="8640" w:leader="none"/>
          <w:tab w:val="clear" w:pos="9360" w:leader="none"/>
        </w:tabs>
        <w:rPr>
          <w:spacing w:val="0"/>
          <w:sz w:val="28"/>
        </w:rPr>
      </w:pPr>
      <w:r>
        <w:rPr>
          <w:spacing w:val="0"/>
          <w:sz w:val="28"/>
        </w:rPr>
      </w:r>
      <w:r>
        <w:rPr>
          <w:spacing w:val="0"/>
          <w:sz w:val="28"/>
        </w:rPr>
      </w:r>
    </w:p>
    <w:p>
      <w:pPr>
        <w:pStyle w:val="913"/>
      </w:pPr>
      <w:r/>
      <w:r/>
    </w:p>
    <w:p>
      <w:pPr>
        <w:pStyle w:val="91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jc w:val="left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15"/>
        <w:rPr>
          <w:b/>
        </w:rPr>
      </w:pPr>
      <w:r>
        <w:rPr>
          <w:b/>
        </w:rPr>
        <w:t xml:space="preserve">Конкурсная документация</w:t>
      </w:r>
      <w:r>
        <w:rPr>
          <w:b/>
        </w:rPr>
      </w:r>
    </w:p>
    <w:p>
      <w:pPr>
        <w:pStyle w:val="913"/>
      </w:pPr>
      <w:r/>
      <w:r/>
    </w:p>
    <w:p>
      <w:pPr>
        <w:pStyle w:val="963"/>
        <w:jc w:val="center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к 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pStyle w:val="913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13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 xml:space="preserve">I</w:t>
      </w:r>
      <w:r>
        <w:rPr>
          <w:b/>
          <w:bCs/>
          <w:sz w:val="28"/>
        </w:rPr>
        <w:t xml:space="preserve">. Требования к участникам конкурса</w:t>
      </w:r>
      <w:r>
        <w:rPr>
          <w:b/>
          <w:bCs/>
          <w:sz w:val="28"/>
        </w:rPr>
      </w:r>
    </w:p>
    <w:p>
      <w:pPr>
        <w:pStyle w:val="913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53"/>
        <w:ind w:firstLine="720"/>
        <w:keepNext w:val="0"/>
        <w:tabs>
          <w:tab w:val="clear" w:pos="708" w:leader="none"/>
          <w:tab w:val="left" w:pos="7088" w:leader="none"/>
        </w:tabs>
      </w:pPr>
      <w:r>
        <w:t xml:space="preserve">1. В конкурсе могут принять участие </w:t>
      </w:r>
      <w:r>
        <w:rPr>
          <w:szCs w:val="28"/>
        </w:rPr>
        <w:t xml:space="preserve">юридические лица независимо от их организационно-правовой формы и формы собственности и физические лица, зарегистрированные в качестве индивидуальных предпринимателей</w:t>
      </w:r>
      <w:r>
        <w:t xml:space="preserve">, представившие конкурсную заявку с прилагаемыми к ней документами (далее - участники конкурса).</w:t>
      </w:r>
      <w:r/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При проведении конкурса устанавливаются следующие требования к участникам конкурса:</w:t>
      </w:r>
      <w:r>
        <w:rPr>
          <w:sz w:val="28"/>
          <w:szCs w:val="28"/>
        </w:rPr>
      </w:r>
    </w:p>
    <w:p>
      <w:pPr>
        <w:pStyle w:val="963"/>
        <w:ind w:firstLine="708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1) наличие в собственности, либо в пользовании земельного участка с расположенной на нём стоянкой на срок не мен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ее 5 лет в муниципальном образовании на территории Удмуртской Республики (с момента заключения договора об оказании услуг по перемещению задержанных транспортных средств на специализированную стоянку, хранению и возврату). Стоянка должна соответствовать тр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2) не проведение ликвидации участника конкурса – юридического лица;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  <w:t xml:space="preserve">2.1)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lang w:eastAsia="en-US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наличие государственной регистрации в качестве юридического лица, либо индивидуального предпринимателя;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5)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наличие необходимого количества эвакуаторов для выполнения условий договора: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образовании на территории Удмуртской Республики не менее 1 эвакуатора, соответствующего требованию пп. «б» п. 5 настоящей конкурсной документации;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«Город Ижевск» не менее 2 эвакуаторов, соответствующих требованиям пп. «б» п. 5 настоящей конкурсной документации.</w:t>
      </w:r>
      <w:r>
        <w:rPr>
          <w:sz w:val="28"/>
          <w:szCs w:val="28"/>
        </w:rPr>
      </w:r>
    </w:p>
    <w:p>
      <w:pPr>
        <w:pStyle w:val="913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1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Требования к стоянкам</w:t>
      </w:r>
      <w:r>
        <w:rPr>
          <w:b/>
          <w:sz w:val="28"/>
          <w:szCs w:val="28"/>
        </w:rPr>
      </w:r>
    </w:p>
    <w:p>
      <w:pPr>
        <w:pStyle w:val="913"/>
        <w:ind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Стоянка должна соответствовать тр</w:t>
      </w:r>
      <w:r>
        <w:rPr>
          <w:sz w:val="28"/>
          <w:szCs w:val="28"/>
        </w:rPr>
        <w:t xml:space="preserve">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</w:t>
        <w:br/>
        <w:t xml:space="preserve">№ 498 «Об утверждении Порядка организации деятельности специализированной стоянки»: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территория специализированной стоянки должна иметь не менее одного подъезда к сети автомобильных дорог общего пользования;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специализированная стоянка должна располагаться на расстоянии не более 500 метров от ближайшей остановки транспорта общего пользования;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площадь участка для стоянки одного транспортного средства с учетом проездов определяется категорией транспортного средства и должна составлять: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для транспортных средств категории L, O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 = 11,25 квадратных метра;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для транспортных   средств категории M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, M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1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 = 22,5квадратных метра;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для транспортных средств категории M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2</w:t>
      </w:r>
      <w:r>
        <w:rPr>
          <w:sz w:val="28"/>
          <w:szCs w:val="28"/>
        </w:rPr>
        <w:t xml:space="preserve">, N</w:t>
      </w:r>
      <w:r>
        <w:rPr>
          <w:sz w:val="28"/>
          <w:szCs w:val="28"/>
          <w:vertAlign w:val="subscript"/>
        </w:rPr>
        <w:t xml:space="preserve">3</w:t>
      </w:r>
      <w:r>
        <w:rPr>
          <w:sz w:val="28"/>
          <w:szCs w:val="28"/>
        </w:rPr>
        <w:t xml:space="preserve">, O</w:t>
      </w:r>
      <w:r>
        <w:rPr>
          <w:sz w:val="28"/>
          <w:szCs w:val="28"/>
          <w:vertAlign w:val="subscript"/>
        </w:rPr>
        <w:t xml:space="preserve">4</w:t>
      </w:r>
      <w:r>
        <w:rPr>
          <w:sz w:val="28"/>
          <w:szCs w:val="28"/>
        </w:rPr>
        <w:t xml:space="preserve"> = 45 квадратных метров;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для негабаритных транспортных средств = 67,5 квадратных метра.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территория специализированной стоянки должна иметь помещения для обслуживающего персонала и охраны, ограждение, не допускающее проникновение посторо</w:t>
      </w:r>
      <w:r>
        <w:rPr>
          <w:sz w:val="28"/>
          <w:szCs w:val="28"/>
        </w:rPr>
        <w:t xml:space="preserve">нних лиц, и искусственное освещение. В ограждении территории специализированной 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4,5 метра;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на открытой территории специализированной стоянки размещаются первичные средства пожаротушения и пожарный инвентарь. На территориях специализированных ст</w:t>
      </w:r>
      <w:r>
        <w:rPr>
          <w:sz w:val="28"/>
          <w:szCs w:val="28"/>
        </w:rPr>
        <w:t xml:space="preserve">оянок, не имеющих наружного противопожарного водоснабжения, оборудуются пожарные щиты. Количество пожарных щитов, их тип и количество первичных средств пожаротушения определяются действующими нормативами в зависимости от площади специализированной стоянки;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здания, сооружения (в том числе временные), расположенные на территории специализированной стоянки, предназначенные для размещения постов охраны, приема посетителей для оформления документов и о</w:t>
      </w:r>
      <w:r>
        <w:rPr>
          <w:sz w:val="28"/>
          <w:szCs w:val="28"/>
        </w:rPr>
        <w:t xml:space="preserve">платы, должны быть обеспечены телефонной связью, кнопкой экстренного вызова полиции, оснащены первичными средствами пожаротушения и иметь искусственное освещение. На территории специализированной стоянки устанавливается туалет и контейнер для сбора мусора;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специализированная стоянка оснащается буксирными тросами (штангами) из расчета 1 трос (штанга) на 10 единиц транспортных средств;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прием задержанных транспортных средств на хранение должен осуществляться круглосуточно.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Площадь одной стоянки должна быть не менее 600 кв. метров в независимости от её местонахождения.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III</w:t>
      </w:r>
      <w:r>
        <w:rPr>
          <w:b/>
          <w:sz w:val="28"/>
          <w:szCs w:val="28"/>
        </w:rPr>
        <w:t xml:space="preserve">. Требования к типу привода специализированного транспортного средства для перемещения задержанного транспортного средства </w:t>
      </w:r>
      <w:r>
        <w:rPr>
          <w:b/>
          <w:sz w:val="28"/>
          <w:szCs w:val="28"/>
        </w:rPr>
      </w:r>
    </w:p>
    <w:p>
      <w:pPr>
        <w:pStyle w:val="91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(далее - эвакуатор), типу платформы, типу погрузки задержанного транспортного средства и грузоподъемности эвакуатора</w:t>
      </w:r>
      <w:r>
        <w:rPr>
          <w:b/>
          <w:sz w:val="28"/>
          <w:szCs w:val="28"/>
        </w:rPr>
      </w:r>
    </w:p>
    <w:p>
      <w:pPr>
        <w:pStyle w:val="913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Эвакуаторы, указанные в конкурсной заявке участника </w:t>
      </w:r>
      <w:bookmarkStart w:id="0" w:name="_GoBack"/>
      <w:r/>
      <w:bookmarkEnd w:id="0"/>
      <w:r>
        <w:rPr>
          <w:sz w:val="28"/>
          <w:szCs w:val="28"/>
        </w:rPr>
        <w:t xml:space="preserve">конкурса, должны быть в исправном состоянии и соответствовать следующим требованиям: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эвакуатор с лебедкой, со сдвижной прямой или ломаной платформой грузоподъемностью (масса перевозимого груза) не менее 2 тонн с полной или частичной погрузкой;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эвакуатор с кран-манипулятором или эвакуатор с кран-манипулятором и лебёдкой, со стационарной прямой или ломаной платформой грузоподъемностью (масса перевозимого груза) не менее 2 тонн. с полной или частичной погрузкой. 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IV</w:t>
      </w:r>
      <w:r>
        <w:rPr>
          <w:b/>
          <w:sz w:val="28"/>
          <w:szCs w:val="28"/>
        </w:rPr>
        <w:t xml:space="preserve">. Требования к оснащению эвакуаторов спутниковой навигации ГЛОНАСС или ГЛОНАСС/GPS</w:t>
      </w:r>
      <w:r>
        <w:rPr>
          <w:b/>
          <w:sz w:val="28"/>
          <w:szCs w:val="28"/>
        </w:rPr>
      </w:r>
    </w:p>
    <w:p>
      <w:pPr>
        <w:pStyle w:val="913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Эвакуаторы, указанные в конкурсной заявке участника конкурса, должны быть оснащены спутниковой навигацией ГЛОНАСС или ГЛОНАСС/GPS;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Победители конкурса должны обеспечить взаимодействие с оператором региональной </w:t>
      </w:r>
      <w:r>
        <w:rPr>
          <w:sz w:val="28"/>
          <w:szCs w:val="28"/>
          <w:lang w:eastAsia="en-US"/>
        </w:rPr>
        <w:t xml:space="preserve">навигационно-информационной системы Удмуртской Республики (далее - РНИС) </w:t>
      </w:r>
      <w:r>
        <w:rPr>
          <w:sz w:val="28"/>
          <w:szCs w:val="28"/>
        </w:rPr>
        <w:t xml:space="preserve">в соответствии с приложением № 1 к Договору.</w:t>
      </w:r>
      <w:r>
        <w:rPr>
          <w:sz w:val="28"/>
          <w:szCs w:val="28"/>
        </w:rPr>
      </w:r>
    </w:p>
    <w:p>
      <w:pPr>
        <w:pStyle w:val="91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</w:t>
      </w:r>
      <w:r>
        <w:rPr>
          <w:b/>
          <w:sz w:val="28"/>
          <w:szCs w:val="28"/>
        </w:rPr>
        <w:t xml:space="preserve">. Порядок внесения изменений в конкурсную документацию</w:t>
      </w:r>
      <w:r>
        <w:rPr>
          <w:sz w:val="28"/>
          <w:szCs w:val="28"/>
        </w:rPr>
      </w:r>
    </w:p>
    <w:p>
      <w:pPr>
        <w:pStyle w:val="91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57"/>
        <w:ind w:firstLine="720"/>
        <w:jc w:val="both"/>
        <w:spacing w:line="240" w:lineRule="auto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7. Министерство вправе принять решение о внесении изменений в конкурсную документацию не позднее, чем за три дня до даты окончания подачи конкурсных заявок на участие в конкурсе. </w:t>
      </w:r>
      <w:r>
        <w:rPr>
          <w:b w:val="0"/>
          <w:i w:val="0"/>
          <w:iCs w:val="0"/>
          <w:sz w:val="28"/>
          <w:szCs w:val="28"/>
        </w:rPr>
      </w:r>
    </w:p>
    <w:p>
      <w:pPr>
        <w:pStyle w:val="957"/>
        <w:ind w:firstLine="720"/>
        <w:jc w:val="both"/>
        <w:spacing w:line="240" w:lineRule="auto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 xml:space="preserve">8. В течение двух дней со дня принятия решения о внесении изменений в конкурсную документацию т</w:t>
      </w:r>
      <w:r>
        <w:rPr>
          <w:b w:val="0"/>
          <w:i w:val="0"/>
          <w:iCs w:val="0"/>
          <w:sz w:val="28"/>
          <w:szCs w:val="28"/>
        </w:rPr>
        <w:t xml:space="preserve">акие изменения опубликовываются на сайте Министерства. При этом срок подачи конкурсных заявок на участие в конкурсе продлевается не менее чем на десять дней со дня размещения на официальном сайте Министерства внесенных изменений в конкурсную документацию. </w:t>
      </w:r>
      <w:r>
        <w:rPr>
          <w:b w:val="0"/>
          <w:i w:val="0"/>
          <w:iCs w:val="0"/>
          <w:sz w:val="28"/>
          <w:szCs w:val="28"/>
        </w:rPr>
      </w:r>
    </w:p>
    <w:p>
      <w:pPr>
        <w:pStyle w:val="913"/>
        <w:rPr>
          <w:bCs/>
          <w:sz w:val="28"/>
        </w:rPr>
      </w:pPr>
      <w:r>
        <w:rPr>
          <w:bCs/>
          <w:sz w:val="28"/>
        </w:rPr>
      </w:r>
      <w:r>
        <w:rPr>
          <w:bCs/>
          <w:sz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VI</w:t>
      </w:r>
      <w:r>
        <w:rPr>
          <w:b/>
          <w:sz w:val="28"/>
          <w:szCs w:val="28"/>
        </w:rPr>
        <w:t xml:space="preserve">. Порядок разъяснения положений конкурсной документации</w:t>
      </w:r>
      <w:r>
        <w:rPr>
          <w:b/>
          <w:sz w:val="28"/>
          <w:szCs w:val="28"/>
        </w:rPr>
      </w:r>
    </w:p>
    <w:p>
      <w:pPr>
        <w:pStyle w:val="913"/>
        <w:ind w:left="360"/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Участник конкурса, которому необходимы разъя</w:t>
      </w:r>
      <w:r>
        <w:rPr>
          <w:sz w:val="28"/>
          <w:szCs w:val="28"/>
        </w:rPr>
        <w:t xml:space="preserve">снения по конкурсной документации, может получить их по письменному запросу, направленному в адрес Министерства не позднее пяти рабочих дней до срока окончания приема заявок. Запросы, направленные позднее указанного срока, Министерством не рассматриваются.</w:t>
      </w:r>
      <w:r>
        <w:rPr>
          <w:sz w:val="28"/>
          <w:szCs w:val="28"/>
        </w:rPr>
      </w:r>
    </w:p>
    <w:p>
      <w:pPr>
        <w:pStyle w:val="962"/>
        <w:ind w:right="0"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Обмен информацией участника конкурса с Министерством осуществляется в письменной форме или в форме электронного документа.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2"/>
        <w:ind w:right="0" w:firstLine="72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Министерство направляет ответ на поступившие запросы в течение пяти рабочих дней со дня поступления запроса, указанного в пункте 10.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tabs>
          <w:tab w:val="clear" w:pos="708" w:leader="none"/>
          <w:tab w:val="left" w:pos="70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jc w:val="center"/>
        <w:tabs>
          <w:tab w:val="clear" w:pos="708" w:leader="none"/>
          <w:tab w:val="left" w:pos="708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VII. Требования к оформлению и содержанию конкурсной заявки</w:t>
      </w:r>
      <w:r>
        <w:rPr>
          <w:b/>
          <w:sz w:val="28"/>
          <w:szCs w:val="28"/>
        </w:rPr>
      </w:r>
    </w:p>
    <w:p>
      <w:pPr>
        <w:pStyle w:val="913"/>
        <w:jc w:val="center"/>
        <w:tabs>
          <w:tab w:val="clear" w:pos="708" w:leader="none"/>
          <w:tab w:val="left" w:pos="7088" w:leader="none"/>
        </w:tabs>
        <w:rPr>
          <w:b/>
          <w:bCs/>
          <w:sz w:val="28"/>
        </w:rPr>
      </w:pP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pStyle w:val="962"/>
        <w:ind w:right="0" w:firstLine="708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Для участия в конкурсе лица, желающие принять в нем участие, предоставляют в Министерство конкурсную заявку по форме, установленной Приложением № 1 к конкурсной документации.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45"/>
        <w:ind w:left="0"/>
        <w:jc w:val="both"/>
        <w:spacing w:before="0" w:after="0"/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 xml:space="preserve">13. 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</w:t>
      </w:r>
      <w:r>
        <w:rPr>
          <w:sz w:val="28"/>
          <w:szCs w:val="28"/>
        </w:rPr>
        <w:t xml:space="preserve">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телефона, адрес электронной почты и предмет конкурса.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Документы на участие в конкурсе и подписанная участником конкурса опись вложенны</w:t>
      </w:r>
      <w:r>
        <w:rPr>
          <w:sz w:val="28"/>
          <w:szCs w:val="28"/>
        </w:rPr>
        <w:t xml:space="preserve">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На конверте указывается наименование конкурса, наименование организации и месторасположение стоянки.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tabs>
          <w:tab w:val="left" w:pos="0" w:leader="none"/>
          <w:tab w:val="clear" w:pos="708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15. Применение факсимильных подписей на документах и копиях документов, входящих в состав заявки на участие в конкурсе, не допускается.</w:t>
      </w:r>
      <w:r>
        <w:rPr>
          <w:sz w:val="28"/>
          <w:szCs w:val="28"/>
        </w:rPr>
      </w:r>
    </w:p>
    <w:p>
      <w:pPr>
        <w:pStyle w:val="945"/>
        <w:ind w:left="0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45"/>
        <w:ind w:left="0"/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VII</w:t>
      </w: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. Перечень документов, прилагаемых к конкурсной заявке, </w:t>
      </w:r>
      <w:r>
        <w:rPr>
          <w:b/>
          <w:sz w:val="28"/>
          <w:szCs w:val="28"/>
        </w:rPr>
      </w:r>
    </w:p>
    <w:p>
      <w:pPr>
        <w:pStyle w:val="945"/>
        <w:ind w:left="0"/>
        <w:jc w:val="center"/>
        <w:spacing w:before="0"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к их оформлению</w:t>
      </w:r>
      <w:r>
        <w:rPr>
          <w:b/>
          <w:sz w:val="28"/>
          <w:szCs w:val="28"/>
        </w:rPr>
      </w:r>
    </w:p>
    <w:p>
      <w:pPr>
        <w:pStyle w:val="945"/>
        <w:ind w:left="0"/>
        <w:jc w:val="both"/>
        <w:spacing w:before="0" w:after="0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Участник конкурса прилагает к конкурсной заявке следующие документы: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копию свидетельств</w:t>
      </w:r>
      <w:r>
        <w:rPr>
          <w:sz w:val="28"/>
          <w:szCs w:val="28"/>
        </w:rPr>
        <w:t xml:space="preserve">а о государственной регистрации права собственности или аренды на земельный участок, либо документ, подтверждающий наличие земельного участка у участника конкурса на законном основании на срок не менее 5 лет для земельного участка, расположенного в муницип</w:t>
      </w:r>
      <w:r>
        <w:rPr>
          <w:bCs/>
          <w:sz w:val="28"/>
          <w:szCs w:val="28"/>
        </w:rPr>
        <w:t xml:space="preserve">альном образовании</w:t>
      </w:r>
      <w:r>
        <w:rPr>
          <w:sz w:val="28"/>
          <w:szCs w:val="28"/>
        </w:rPr>
        <w:t xml:space="preserve"> на территории Удмуртской Республики со дня заключения договора об оказании услуг по перемещению задержанных транспортных средств на специализированную стоянку, хранению и возврату);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справку участника конкурса о наличии стоянки с указанием местоположения стоянки;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копию паспортов эвакуаторов или копию договора на аренду эвакуаторов, либо копию договора лизинга эвакуаторов, которые указаны в конкурсной заявке;</w:t>
      </w:r>
      <w:r>
        <w:rPr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4) 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полученная не ране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 чем за шесть месяцев до дня размещения на официальном сайте извещения о проведении конкурса, выписка из Единого государственного реестра индивидуальных предпринимателей или нотариально заверенная копия такой выписки (для индивидуальных предпринимателей);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540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ab/>
        <w:t xml:space="preserve">5) документ, подтверждающий полномочия лица на осуществление действий от имени участника конкурса - юридического лица (копия решения о назначе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6) копии карточек (листов) стажировки водителей,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копии документов о прохождении инструктажей водителей эвакуаторов об обеспечении безопасности движения,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копии протоколов (свидетельств), подтверждающих прохождение обучения по повыш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ению профессионального мастерства водителей эвакуаторов (окончание прохождения стажировки, инструктажей и обучение водителей эвакуаторов должно быть не ранее чем за двенадцать месяцев до дня размещения на официальном сайте извещения о проведении конкурса);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8) </w:t>
      </w:r>
      <w:r>
        <w:rPr>
          <w:color w:val="000000"/>
          <w:sz w:val="28"/>
          <w:szCs w:val="28"/>
        </w:rPr>
        <w:t xml:space="preserve">копию второй и третьей страницы паспорта гражданина Российской Федерации (для </w:t>
      </w:r>
      <w:r>
        <w:rPr>
          <w:sz w:val="28"/>
          <w:szCs w:val="28"/>
        </w:rPr>
        <w:t xml:space="preserve">индивидуальных предпринимателей)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</w:p>
    <w:p>
      <w:pPr>
        <w:pStyle w:val="963"/>
        <w:ind w:firstLine="708"/>
        <w:jc w:val="both"/>
        <w:widowControl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9) опись приложенных к конкурсной заявке документов.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Копии </w:t>
      </w:r>
      <w:r>
        <w:rPr>
          <w:sz w:val="28"/>
          <w:szCs w:val="28"/>
        </w:rPr>
        <w:t xml:space="preserve">документов должны быть заверены лицом, имеющим полномочия на осуществление действий от имени участника конкурса,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  <w:r>
        <w:rPr>
          <w:sz w:val="28"/>
          <w:szCs w:val="28"/>
        </w:rPr>
      </w:r>
    </w:p>
    <w:p>
      <w:pPr>
        <w:pStyle w:val="91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I</w:t>
      </w:r>
      <w:r>
        <w:rPr>
          <w:b/>
          <w:sz w:val="28"/>
          <w:szCs w:val="28"/>
        </w:rPr>
        <w:t xml:space="preserve">X. Порядок, способ подачи конкурсной заявки, </w:t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её изменения и отзыва</w:t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Конверты с конкурсными заявками принимаются и регистрируются Министе</w:t>
      </w:r>
      <w:r>
        <w:rPr>
          <w:sz w:val="28"/>
          <w:szCs w:val="28"/>
        </w:rPr>
        <w:t xml:space="preserve">рством в день поступления в ведомости регистрации заявок. В отметке о регистрации указываются дата и время поступления конверта с заявкой. По требованию участника конкурса сотрудники Министерства выдают расписку о регистрации конверта с конкурсной заявкой.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shd w:val="clear" w:color="auto" w:fill="ffffff"/>
        <w:tabs>
          <w:tab w:val="clear" w:pos="708" w:leader="none"/>
          <w:tab w:val="left" w:pos="144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19. Участник конкурса, подавший конкурсную заявку на участие </w:t>
      </w:r>
      <w:r>
        <w:rPr>
          <w:sz w:val="28"/>
          <w:szCs w:val="28"/>
        </w:rPr>
        <w:t xml:space="preserve">в конкурсе, вправе изменить или отозвать конкурсную заявку в любое время до момента вскрытия комиссией конвертов с конкурсными заявками. Изменение конкурсной заявки производится заменой конверта с конкурсной заявкой на новый (измененный) конверт с конкурсн</w:t>
      </w:r>
      <w:r>
        <w:rPr>
          <w:sz w:val="28"/>
          <w:szCs w:val="28"/>
        </w:rPr>
        <w:t xml:space="preserve">ой заявкой. Допускается однократное изменение конверта с конкурсной заявкой. Изменённая конкурсная заявка оформляется в соответствии с требованиями к оформлению и содержанию конкурсной заявки, при этом конверты дополнительно маркируются словом «ИЗМЕНЕНИЕ».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Конкурсные заявки на участие в конкурсе, в том числе измененные конкурсные заявки, поданные после окончания срока приема, установленного конкурсной документацией, не принимаются, не регистрируются и возвращаются участнику конкурса.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21. Уведомление об отзыве заявки на участие в конкурсе является основанием для незамедлительного возвращения участнику конкурса нераспечатанной заявки.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22. Регистрация изменения и отзыва конкурсной заявки производится в том же порядке, что и регистрация заявки.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Участник конкурса несет все расходы, связанные с подготовкой и подачей своей конкурсной заявки на участие в конкурсе, а Министерство не отвечает и не имеет обязательств по этим расходам независимо от характера проведения и результатов конкурса.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X. Место, дата, время начала и окончания подачи конкурсных заявок</w:t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Подача конкурсны</w:t>
      </w:r>
      <w:r>
        <w:rPr>
          <w:sz w:val="28"/>
          <w:szCs w:val="28"/>
        </w:rPr>
        <w:t xml:space="preserve">х заявок осуществляется в Министерство по адресу: 426033, г. Ижевск, ул. Кирова, дом 22, кабинет № 212. Дата, время начала и окончания подачи конкурсных заявок установлены в графике конкурсных мероприятий, согласно Приложению № 3 к конкурсной документации.</w:t>
      </w:r>
      <w:r>
        <w:rPr>
          <w:sz w:val="28"/>
          <w:szCs w:val="28"/>
        </w:rPr>
      </w:r>
    </w:p>
    <w:p>
      <w:pPr>
        <w:pStyle w:val="91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 xml:space="preserve">XI. Место, дата и время вскрытия конвертов с конкурсными заявками</w:t>
      </w:r>
      <w:r>
        <w:rPr>
          <w:b/>
          <w:bCs/>
          <w:sz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Конверты с конкурсными заявками на участие в конкурсе вскрываю</w:t>
      </w:r>
      <w:r>
        <w:rPr>
          <w:sz w:val="28"/>
          <w:szCs w:val="28"/>
        </w:rPr>
        <w:t xml:space="preserve">тся конкурсной комиссией в Министерстве по адресу: 426033, г. Ижевск, ул. Кирова, дом 22, кабинет № 212. Дата и время вскрытия конвертов с конкурсными заявками установлены в графике конкурсных мероприятий, согласно Приложению № 3 к конкурсной документации.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 xml:space="preserve">XII</w:t>
      </w:r>
      <w:r>
        <w:rPr>
          <w:b/>
          <w:szCs w:val="28"/>
        </w:rPr>
        <w:t xml:space="preserve">. Порядок вскрытия конвертов и рассмотрения конкурсных заявок</w:t>
      </w:r>
      <w:r>
        <w:rPr>
          <w:b/>
          <w:szCs w:val="28"/>
        </w:rPr>
      </w:r>
    </w:p>
    <w:p>
      <w:pPr>
        <w:pStyle w:val="950"/>
        <w:ind w:firstLine="0"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963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26. Конверты с конкурсными заявками вскрываются конкурсной комиссией в течение пяти рабочих дней со дня окончания срока для приема конкурсных заявок.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27. Участники конкурса имеют право присутствовать при вскрытии комиссией конвертов с конкурсными заявками.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09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28. Наименование (для юридического лица), фамилия, имя, отчество (для индивидуального предпринимателя) каждого уч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астника конкурса, конверт, с конкурсной 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конкурсными заявками.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Протокол вскрытия конвертов с конкурсными заявками ведется конкурсной комиссией и подписывается всеми присутствующими членами конкурсной комиссии в день вскрытия конвертов.</w:t>
      </w:r>
      <w:r>
        <w:rPr>
          <w:rFonts w:ascii="Times New Roman" w:hAnsi="Times New Roman" w:eastAsia="Arial" w:cs="Times New Roman"/>
          <w:bCs/>
          <w:sz w:val="28"/>
          <w:szCs w:val="28"/>
        </w:rPr>
        <w:t xml:space="preserve"> Протокол вскрытия конвертов с заявками в течение двух </w:t>
      </w:r>
      <w:r>
        <w:rPr>
          <w:rFonts w:ascii="Times New Roman" w:hAnsi="Times New Roman" w:cs="Times New Roman"/>
          <w:sz w:val="28"/>
          <w:szCs w:val="28"/>
        </w:rPr>
        <w:t xml:space="preserve">рабочих дней со дня вскрытия конвертов с заявками размещается на официальном сайте Министерства в информационно- телекоммуникационной сети Интернет.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Конкурсная комиссия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конкурсные заявки и прилагаемые к ним документы на соответствие их требованиям, установленными пунктами 2, 13, 14, 16 конкурсной документации. Срок рассмотрения заявок не может превышать десять рабочих дней со дня вскрытия конвертов с конкурсными заявками.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 Министерство для подтверждения соответствия участника конкурса требованиям, указанным в </w:t>
      </w:r>
      <w: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"http://mobileonline.garant.ru/" \l "/document/15759456/entry/61"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подпунктах 2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"http://mobileonline.garant.ru/" \l "/document/15759456/entry/66"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3, 5 пункта 2 конкурсной документации,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  <w:r>
        <w:rPr>
          <w:rFonts w:ascii="Times New Roman" w:hAnsi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в настоящем пункте документы участник конкурса может представить самостоятельно.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Факты непроведения ликвидации участника конкурса - юридического лица, отсутствия решения арбитражного суда о приз</w:t>
      </w:r>
      <w:r>
        <w:rPr>
          <w:rFonts w:ascii="Times New Roman" w:hAnsi="Times New Roman"/>
          <w:sz w:val="28"/>
          <w:szCs w:val="28"/>
        </w:rPr>
        <w:t xml:space="preserve">нании банкротом участника конкурса - юридического лица или индивидуального предпринимателя и об открытии конкурсного производства Министерство самостоятельно проверяет на основании информации, размещенной на официальном сайте Федеральной налоговой службы (</w:t>
      </w:r>
      <w:hyperlink r:id="rId24" w:tooltip="http://www.egrul.nalog.ru/" w:history="1">
        <w:r>
          <w:rPr>
            <w:rFonts w:ascii="Times New Roman" w:hAnsi="Times New Roman"/>
            <w:sz w:val="28"/>
            <w:szCs w:val="28"/>
          </w:rPr>
          <w:t xml:space="preserve">www.egrul.nalog.ru</w:t>
        </w:r>
      </w:hyperlink>
      <w:r>
        <w:rPr>
          <w:rFonts w:ascii="Times New Roman" w:hAnsi="Times New Roman"/>
          <w:sz w:val="28"/>
          <w:szCs w:val="28"/>
        </w:rPr>
        <w:t xml:space="preserve">) и федеральных арбитражных судов Российской Федерации (</w:t>
      </w:r>
      <w:hyperlink r:id="rId25" w:tooltip="http://www.arbitr.ru/" w:history="1">
        <w:r>
          <w:rPr>
            <w:rFonts w:ascii="Times New Roman" w:hAnsi="Times New Roman"/>
            <w:sz w:val="28"/>
            <w:szCs w:val="28"/>
          </w:rPr>
          <w:t xml:space="preserve">www.arbitr.ru</w:t>
        </w:r>
      </w:hyperlink>
      <w:r>
        <w:rPr>
          <w:rFonts w:ascii="Times New Roman" w:hAnsi="Times New Roman"/>
          <w:sz w:val="28"/>
          <w:szCs w:val="28"/>
        </w:rPr>
        <w:t xml:space="preserve">).</w:t>
      </w:r>
      <w:r>
        <w:rPr>
          <w:rFonts w:ascii="Times New Roman" w:hAnsi="Times New Roman"/>
          <w:sz w:val="28"/>
          <w:szCs w:val="28"/>
        </w:rPr>
      </w:r>
    </w:p>
    <w:p>
      <w:pPr>
        <w:pStyle w:val="913"/>
        <w:numPr>
          <w:ilvl w:val="0"/>
          <w:numId w:val="0"/>
        </w:numPr>
        <w:ind w:firstLine="540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32. На основании рез</w:t>
      </w:r>
      <w:r>
        <w:rPr>
          <w:sz w:val="28"/>
          <w:szCs w:val="28"/>
        </w:rPr>
        <w:t xml:space="preserve">ультатов рассмотрения конкурсных заявок конкурсной комиссией принимается решение о допуске участника конкурса или об отказе в допуске к участию в конкурсе, а также оформляется протокол рассмотрения конкурсных заявок, который ведется секретарём конкурсной к</w:t>
      </w:r>
      <w:r>
        <w:rPr>
          <w:sz w:val="28"/>
          <w:szCs w:val="28"/>
        </w:rPr>
        <w:t xml:space="preserve">омиссии и подписывается всеми присутствующими на заседании членами конкурсной комиссии в день окончания рассмотрения конкурсных заявок. Протокол должен содержать сведения об участниках конкурса, подавших конкурсные заявки, решение о допуске участника конку</w:t>
      </w:r>
      <w:r>
        <w:rPr>
          <w:sz w:val="28"/>
          <w:szCs w:val="28"/>
        </w:rPr>
        <w:t xml:space="preserve">рса к участию в конкурсе или об отказе в допуске к участию в конкурсе с обоснованием такого решения и с указанием положений конкурсной документации, которым не соответствует конкурсная заявка этого участника конкурса, а также с указанием сведений о решении</w:t>
      </w:r>
      <w:r>
        <w:rPr>
          <w:sz w:val="28"/>
          <w:szCs w:val="28"/>
        </w:rPr>
        <w:t xml:space="preserve"> каждого члена конкурсной комиссии о допуске участника конкурса к участию в конкурсе или об отказе ему в допуске. Указанный протокол в течение двух дней со дня окончания рассмотрения конкурсных заявок размещается Министерством на своём официальном сайте в </w:t>
      </w:r>
      <w:r>
        <w:rPr>
          <w:rStyle w:val="929"/>
          <w:b w:val="0"/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</w:t>
      </w:r>
      <w:r>
        <w:rPr>
          <w:sz w:val="28"/>
          <w:szCs w:val="28"/>
        </w:rPr>
        <w:t xml:space="preserve">т. Участникам конкурса, подавшим заявки (как признанным участниками конкурса, так и не допущенным к участию в конкурсе), направляются уведомления о принятых конкурсной комиссией решениях не позднее пяти рабочих дней, со дня подписания указанного протокола.</w:t>
      </w:r>
      <w:r>
        <w:rPr>
          <w:sz w:val="28"/>
          <w:szCs w:val="28"/>
        </w:rPr>
      </w:r>
    </w:p>
    <w:p>
      <w:pPr>
        <w:pStyle w:val="913"/>
        <w:numPr>
          <w:ilvl w:val="0"/>
          <w:numId w:val="0"/>
        </w:numPr>
        <w:ind w:firstLine="709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33. В случае если на основании результатов </w:t>
      </w:r>
      <w:r>
        <w:rPr>
          <w:sz w:val="28"/>
          <w:szCs w:val="28"/>
        </w:rPr>
        <w:t xml:space="preserve">рассмотрения конкурсных заявок принято решение об отказе в допуске к участию в конкурсе всех участников конкурса, подавших конкурсные заявки, а также, если для участия в конкурсе не было подано ни одной конкурсной заявки, конкурс признается несостоявшимся.</w:t>
      </w:r>
      <w:r>
        <w:rPr>
          <w:sz w:val="28"/>
          <w:szCs w:val="28"/>
        </w:rPr>
      </w:r>
    </w:p>
    <w:p>
      <w:pPr>
        <w:pStyle w:val="913"/>
        <w:numPr>
          <w:ilvl w:val="0"/>
          <w:numId w:val="0"/>
        </w:numPr>
        <w:ind w:firstLine="708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34. 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требованиям, установленным пунктами 2, 13, 14, 16 конкурсной </w:t>
      </w:r>
      <w:r>
        <w:rPr>
          <w:sz w:val="28"/>
          <w:szCs w:val="28"/>
        </w:rPr>
        <w:t xml:space="preserve">документации, то в этом случае он признается победителем и в течение трех рабочих дней со дня подписания протокола, предусмотренного пунктом 31 конкурсной документации, такому участнику конкурса передаётся проект договора для подписания в трехдневный срок.</w:t>
      </w:r>
      <w:r>
        <w:rPr>
          <w:sz w:val="28"/>
          <w:szCs w:val="28"/>
        </w:rPr>
      </w:r>
    </w:p>
    <w:p>
      <w:pPr>
        <w:pStyle w:val="963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35. Конкурсная комиссия отказывает участнику конкурса в допуске к участию в конкурсе в случае: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 не соответствия конкурсной заявки и прилагаемых к ней документов требованиям, предусмотренным постановлением Правительства Удмуртской Республики от 21.12.2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012 года № 592 «Об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 соответствия стоянки тр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3"/>
        <w:ind w:firstLine="720"/>
        <w:jc w:val="both"/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- не соответствия конкурсной заявки и прилагаемых к ней документов требованиям, предусмотренным настоящей конкурсной документацией.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</w:r>
    </w:p>
    <w:p>
      <w:pPr>
        <w:pStyle w:val="96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Участники конкурса не допускаются к участию в конкурсе в случае: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проведения ликвидации в отношении участника конкурса - юридического лица;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приостановления деятельности участника конкурса в порядке, предусмотренном </w:t>
      </w:r>
      <w:r>
        <w:fldChar w:fldCharType="begin"/>
      </w:r>
      <w:r>
        <w:rPr>
          <w:sz w:val="28"/>
          <w:szCs w:val="28"/>
        </w:rPr>
        <w:instrText xml:space="preserve"> HYPERLINK "http://mobileonline.garant.ru/" \l "/document/12125267/entry/0"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Кодексом Российской Федерации об административных правонарушениях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 предоставления документа или копии документа, подтверждающего внесение задатка, если внесение задатка было установлено конкурсной документацией.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Отказ в допуске к участию в конкурсе по другим основаниям не допускается.</w:t>
      </w:r>
      <w:r>
        <w:rPr>
          <w:sz w:val="28"/>
          <w:szCs w:val="28"/>
        </w:rPr>
      </w:r>
    </w:p>
    <w:p>
      <w:pPr>
        <w:pStyle w:val="913"/>
        <w:numPr>
          <w:ilvl w:val="0"/>
          <w:numId w:val="0"/>
        </w:numPr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37. Конкурсная комиссия отстраняет участника конкурса от участия в конкурсе на любом этапе его проведения, в случае выявления факта предоставления участником конк</w:t>
      </w:r>
      <w:r>
        <w:rPr>
          <w:sz w:val="28"/>
          <w:szCs w:val="28"/>
        </w:rPr>
        <w:t xml:space="preserve">урса недостоверной информации (сведений), содержащейся в конкурсной заявке и документах, прилагаемых к конкурсной заявке, предоставленной участником конкурса. Решение об отстранении участника конкурса размещается Министерством на своём официальном сайте в </w:t>
      </w:r>
      <w:r>
        <w:rPr>
          <w:rStyle w:val="929"/>
          <w:b w:val="0"/>
          <w:sz w:val="28"/>
          <w:szCs w:val="28"/>
        </w:rPr>
        <w:t xml:space="preserve">информационно-телекоммуникационной </w:t>
      </w:r>
      <w:r>
        <w:rPr>
          <w:sz w:val="28"/>
          <w:szCs w:val="28"/>
        </w:rPr>
        <w:t xml:space="preserve">сети Интернет в двухдневный срок. В решении указываются установленные факты недостоверных сведений.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Отстранение участника конкурса от участия в конкурсе по другим основаниям не допускается.</w:t>
      </w:r>
      <w:r>
        <w:rPr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X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Порядок проверки достоверности документов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50"/>
        <w:ind w:firstLine="708"/>
        <w:rPr>
          <w:szCs w:val="28"/>
        </w:rPr>
      </w:pPr>
      <w:r>
        <w:rPr>
          <w:bCs/>
        </w:rPr>
        <w:t xml:space="preserve">38. </w:t>
      </w:r>
      <w:r>
        <w:rPr>
          <w:szCs w:val="28"/>
        </w:rPr>
        <w:t xml:space="preserve">Для </w:t>
      </w:r>
      <w:r>
        <w:rPr>
          <w:szCs w:val="28"/>
        </w:rPr>
        <w:t xml:space="preserve">проверки достоверности документов участников конкурса, указанных в пп. 2, 2.1 пункта 16 конкурсной документации, конкурсная комиссия проводит выездную проверку стоянки на соответствие её требованиям, установленным во втором разделе конкурсной документации.</w:t>
      </w:r>
      <w:r>
        <w:rPr>
          <w:szCs w:val="28"/>
        </w:rPr>
      </w:r>
    </w:p>
    <w:p>
      <w:pPr>
        <w:pStyle w:val="950"/>
        <w:ind w:firstLine="708"/>
        <w:rPr>
          <w:szCs w:val="28"/>
        </w:rPr>
      </w:pPr>
      <w:r>
        <w:rPr>
          <w:szCs w:val="28"/>
        </w:rPr>
        <w:t xml:space="preserve">38.1. Для проверки достоверности предо</w:t>
      </w:r>
      <w:r>
        <w:rPr>
          <w:szCs w:val="28"/>
        </w:rPr>
        <w:t xml:space="preserve">ставленных документов участников конкурса, указанных в пп. 3 пункта 16 конкурсной документации, конкурсная комиссия проводит выездную проверку эвакуаторов на соответствие их требованиям, установленным в третьем разделе и пп. 6 п. 2 конкурсной документации.</w:t>
      </w:r>
      <w:r>
        <w:rPr>
          <w:szCs w:val="28"/>
        </w:rPr>
      </w:r>
    </w:p>
    <w:p>
      <w:pPr>
        <w:pStyle w:val="913"/>
        <w:numPr>
          <w:ilvl w:val="0"/>
          <w:numId w:val="0"/>
        </w:numPr>
        <w:ind w:firstLine="709"/>
        <w:jc w:val="both"/>
        <w:spacing w:line="235" w:lineRule="auto"/>
        <w:widowControl w:val="off"/>
        <w:rPr>
          <w:sz w:val="28"/>
          <w:szCs w:val="28"/>
        </w:rPr>
        <w:outlineLvl w:val="0"/>
      </w:pPr>
      <w:r>
        <w:rPr>
          <w:sz w:val="28"/>
          <w:szCs w:val="28"/>
        </w:rPr>
        <w:t xml:space="preserve">38.2. Проверка осуществляется в срок, не превышающий 8 рабочих дней со дня принятия решения о проведении проверки.</w:t>
      </w:r>
      <w:r>
        <w:rPr>
          <w:sz w:val="28"/>
          <w:szCs w:val="28"/>
        </w:rPr>
      </w:r>
    </w:p>
    <w:p>
      <w:pPr>
        <w:pStyle w:val="950"/>
        <w:ind w:firstLine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950"/>
        <w:jc w:val="center"/>
        <w:rPr>
          <w:b/>
          <w:szCs w:val="28"/>
        </w:rPr>
      </w:pPr>
      <w:r>
        <w:rPr>
          <w:b/>
          <w:szCs w:val="28"/>
        </w:rPr>
        <w:t xml:space="preserve">X</w:t>
      </w:r>
      <w:r>
        <w:rPr>
          <w:b/>
          <w:szCs w:val="28"/>
          <w:lang w:val="en-US"/>
        </w:rPr>
        <w:t xml:space="preserve">I</w:t>
      </w:r>
      <w:r>
        <w:rPr>
          <w:b/>
          <w:szCs w:val="28"/>
        </w:rPr>
        <w:t xml:space="preserve">V. Критерии оценки конкурсных заявок и порядок сопоставления и оценки конкурсных заявок</w:t>
      </w:r>
      <w:r>
        <w:rPr>
          <w:b/>
          <w:szCs w:val="28"/>
        </w:rPr>
      </w:r>
    </w:p>
    <w:p>
      <w:pPr>
        <w:pStyle w:val="950"/>
        <w:ind w:firstLine="0"/>
        <w:jc w:val="center"/>
        <w:rPr>
          <w:szCs w:val="28"/>
          <w:highlight w:val="yellow"/>
        </w:rPr>
      </w:pP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pStyle w:val="950"/>
        <w:ind w:firstLine="708"/>
        <w:rPr>
          <w:bCs/>
        </w:rPr>
      </w:pPr>
      <w:r>
        <w:rPr>
          <w:bCs/>
        </w:rPr>
        <w:t xml:space="preserve">39. </w:t>
      </w:r>
      <w:r>
        <w:rPr>
          <w:szCs w:val="28"/>
        </w:rPr>
        <w:t xml:space="preserve"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 (</w:t>
      </w:r>
      <w:r>
        <w:rPr>
          <w:bCs/>
        </w:rPr>
        <w:t xml:space="preserve">Приложение № 2</w:t>
      </w:r>
      <w:r>
        <w:rPr>
          <w:szCs w:val="28"/>
        </w:rPr>
        <w:t xml:space="preserve">). Совокупная значимость обязательных критериев составляет не более 30 баллов, что составляет сто процентов.</w:t>
      </w:r>
      <w:r>
        <w:rPr>
          <w:bCs/>
        </w:rPr>
      </w:r>
    </w:p>
    <w:p>
      <w:pPr>
        <w:pStyle w:val="913"/>
        <w:ind w:firstLine="709"/>
        <w:jc w:val="both"/>
        <w:rPr>
          <w:sz w:val="28"/>
        </w:rPr>
      </w:pPr>
      <w:r>
        <w:rPr>
          <w:sz w:val="28"/>
        </w:rPr>
        <w:t xml:space="preserve">40. На основании результатов оценки и сопоставления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</w:t>
      </w:r>
      <w:r>
        <w:rPr>
          <w:sz w:val="28"/>
        </w:rPr>
        <w:t xml:space="preserve">наибольшее количество баллов, присваивается первый номер. В случае если нескольким конкурсным заявкам поставлено одинаковое количество баллов, меньший порядковый номер присваивается конкурсной заявке, которая поступила ранее других таких конкурсных заявок.</w:t>
      </w:r>
      <w:r>
        <w:rPr>
          <w:sz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41. </w:t>
      </w:r>
      <w:r>
        <w:rPr>
          <w:sz w:val="28"/>
          <w:szCs w:val="28"/>
        </w:rPr>
        <w:t xml:space="preserve"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  <w:r>
        <w:rPr>
          <w:sz w:val="28"/>
          <w:szCs w:val="28"/>
        </w:rPr>
      </w:r>
    </w:p>
    <w:p>
      <w:pPr>
        <w:pStyle w:val="950"/>
      </w:pPr>
      <w:r>
        <w:t xml:space="preserve">42. </w:t>
      </w:r>
      <w:r>
        <w:rPr>
          <w:szCs w:val="28"/>
        </w:rPr>
        <w:t xml:space="preserve"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</w:t>
      </w:r>
      <w:r>
        <w:rPr>
          <w:szCs w:val="28"/>
        </w:rPr>
        <w:t xml:space="preserve"> определяется исходя из размера общей площади стоянок в муниципальном образовании, установленной в приложении № 4 настоящей конкурсной документации, и площади стоянок участников конкурса, конкурсным заявкам которых присвоены более низкие порядковые номера.</w:t>
      </w:r>
      <w:r/>
    </w:p>
    <w:p>
      <w:pPr>
        <w:pStyle w:val="950"/>
      </w:pPr>
      <w:r>
        <w:t xml:space="preserve">43. Конкурсная комиссия ведет протокол оценки и сопоставления заявок, в котором указываются сведения о месте, дате, времени проведения оценки и сопоставления заявок, об участниках конкурса, заявки которых были рассмотрены, о порядке оценки и</w:t>
      </w:r>
      <w:r>
        <w:t xml:space="preserve"> сопоставления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 о присвоении заявкам значений по каждому из предусмотренных критериев оценки</w:t>
      </w:r>
      <w:r>
        <w:t xml:space="preserve"> заявок, а также наименования (для юридических лиц), фамилии, имени, отчества 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</w:t>
      </w:r>
      <w:r>
        <w:t xml:space="preserve"> следующих после дня окончания проведения оценки и сопоставления заявок. Министерство в течение пяти рабочих дней со дня подписания протокола оценки и сопоставления заявок передает победителю конкурса проект договора, прилагаемый к конкурсной документации.</w:t>
      </w:r>
      <w:r/>
    </w:p>
    <w:p>
      <w:pPr>
        <w:pStyle w:val="913"/>
        <w:ind w:firstLine="708"/>
        <w:jc w:val="both"/>
        <w:rPr>
          <w:sz w:val="28"/>
        </w:rPr>
      </w:pPr>
      <w:r>
        <w:rPr>
          <w:sz w:val="28"/>
        </w:rPr>
        <w:t xml:space="preserve">44. Министерство в течение двух рабочих дней со дня подписания протокола оценки и сопоставления заявок размещает его на официальном сайте в </w:t>
      </w:r>
      <w:r>
        <w:rPr>
          <w:rStyle w:val="929"/>
          <w:b w:val="0"/>
          <w:sz w:val="28"/>
          <w:szCs w:val="28"/>
        </w:rPr>
        <w:t xml:space="preserve">информационно-телекоммуникационной </w:t>
      </w:r>
      <w:r>
        <w:rPr>
          <w:sz w:val="28"/>
        </w:rPr>
        <w:t xml:space="preserve">сети Интернет и в течение пяти рабочих дней направляет участникам конкурса уведомления об итогах конкурса.</w:t>
      </w:r>
      <w:r>
        <w:rPr>
          <w:sz w:val="28"/>
        </w:rPr>
      </w:r>
    </w:p>
    <w:p>
      <w:pPr>
        <w:pStyle w:val="913"/>
        <w:ind w:firstLine="708"/>
        <w:jc w:val="both"/>
        <w:rPr>
          <w:sz w:val="28"/>
        </w:rPr>
      </w:pPr>
      <w:r>
        <w:rPr>
          <w:sz w:val="28"/>
        </w:rPr>
        <w:t xml:space="preserve">45. Любой участник конкурса после размещения Министерством на своем официальном сайте в </w:t>
      </w:r>
      <w:r>
        <w:rPr>
          <w:rStyle w:val="929"/>
          <w:b w:val="0"/>
          <w:sz w:val="28"/>
          <w:szCs w:val="28"/>
        </w:rPr>
        <w:t xml:space="preserve">информационно-телекоммуникационной </w:t>
      </w:r>
      <w:r>
        <w:rPr>
          <w:sz w:val="28"/>
        </w:rPr>
        <w:t xml:space="preserve">сети Интернет протокола оценки и сопоставления заявок вправе направить Министерству в письменной форме, в том числе в форме электрон</w:t>
      </w:r>
      <w:r>
        <w:rPr>
          <w:sz w:val="28"/>
        </w:rPr>
        <w:t xml:space="preserve">ного документа, запрос о разъяснении результатов конкурса. Министерство в течение трех рабочих дней со дня поступления такого запроса обязано предоставить участнику конкурса в письменной форме или в форме электронного документа соответствующие разъяснения.</w:t>
      </w:r>
      <w:r>
        <w:rPr>
          <w:sz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XV. Порядок заключения и срок действия договора</w:t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Министерство заключает с победителями конкурса договор (Приложение № 5)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Министерство в течение двух рабочих дней после заключения с победителями конкурса договора размещает в реестре специализированных стоянок информацию об адресах их расположения, контактных телефонах </w:t>
      </w:r>
      <w:r>
        <w:rPr>
          <w:sz w:val="28"/>
        </w:rPr>
        <w:t xml:space="preserve">на своем официальном сайте в </w:t>
      </w:r>
      <w:r>
        <w:rPr>
          <w:rStyle w:val="929"/>
          <w:b w:val="0"/>
          <w:sz w:val="28"/>
          <w:szCs w:val="28"/>
        </w:rPr>
        <w:t xml:space="preserve">информационно-телекоммуникационной </w:t>
      </w:r>
      <w:r>
        <w:rPr>
          <w:sz w:val="28"/>
        </w:rPr>
        <w:t xml:space="preserve">сети Интернет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48. В случае если победитель конкурса в срок, указанный в пункте 45 настоящей конкурсной документации, не заключил с Министерством договор, то победитель конкурса считается уклонившимся от заключения договора.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 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</w:t>
      </w:r>
      <w:r>
        <w:rPr>
          <w:sz w:val="28"/>
          <w:szCs w:val="28"/>
        </w:rPr>
        <w:t xml:space="preserve"> от заключения договора (либо отказались все участники конкурса) и отсутствуют иные участники конкурса, занявшие последующие места, Министерство в течение тридцати дней принимает решение о проведении повторного конкурса в соответствии с настоящим Порядком.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50. Договор вступает в силу с момента его подписания и действует в муницип</w:t>
      </w:r>
      <w:r>
        <w:rPr>
          <w:bCs/>
          <w:sz w:val="28"/>
          <w:szCs w:val="28"/>
        </w:rPr>
        <w:t xml:space="preserve">альном образовании</w:t>
      </w:r>
      <w:r>
        <w:rPr>
          <w:sz w:val="28"/>
          <w:szCs w:val="28"/>
        </w:rPr>
        <w:t xml:space="preserve"> на территории Удмуртской Республики в течении пяти лет, если иное не предусмотрено Договором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1</w:t>
      </w:r>
      <w:r>
        <w:rPr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0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заявка 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0"/>
        <w:ind w:firstLine="0"/>
        <w:jc w:val="center"/>
        <w:widowControl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(фирменное наименование и организационно-правовая форма)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(место нахождения и почтовый адрес для юридического лица)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(Ф.И.О., место регистрации для индивидуальных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предпринимателей)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(номер контактного телефона, электронной почты)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предлагает обеспечить оказание услуг по перемещению, хранению и возврату задержанных транспортных средств на специализированную стоянку, расположенную _______________________________________________________________________.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Сведения об участнике конкурса</w:t>
      </w:r>
      <w:r>
        <w:rPr>
          <w:sz w:val="28"/>
          <w:szCs w:val="28"/>
        </w:rPr>
      </w:r>
    </w:p>
    <w:p>
      <w:pPr>
        <w:pStyle w:val="913"/>
        <w:ind w:left="72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085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"/>
        <w:gridCol w:w="6095"/>
        <w:gridCol w:w="3499"/>
      </w:tblGrid>
      <w:tr>
        <w:tblPrEx/>
        <w:trPr>
          <w:trHeight w:val="22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6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стажировки водителей эвакуаторов, прохождение инструктажей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</w:t>
            </w:r>
            <w:hyperlink r:id="rId26" w:tooltip="consultantplus://offline/ref=8301FB13C3BFFFC62CA8CF3C37AC0CC249F746AF7864CD9EEC78DF794AB47F4BE4D995BAC1AF7963X8W1F" w:history="1">
              <w:r>
                <w:rPr>
                  <w:rFonts w:ascii="Times New Roman" w:hAnsi="Times New Roman"/>
                  <w:sz w:val="28"/>
                  <w:szCs w:val="28"/>
                </w:rPr>
                <w:t xml:space="preserve">Правил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дорожного движения, изучение типичных дорожно-транспортных ситуаций повышенной 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(организовано/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организовано)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16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60"/>
              <w:ind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проведение ликвидации в отношении участника конкурса - юридического лица 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(ликвидация проводится, наличие решения/ликвидация не проводится, решение отсутствует)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3</w:t>
            </w:r>
            <w:r>
              <w:rPr>
                <w:rFonts w:cs="Arial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60"/>
              <w:ind w:firstLine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(приостановлена/ не приостановлена)</w:t>
            </w:r>
            <w:r>
              <w:rPr>
                <w:rFonts w:cs="Arial"/>
                <w:sz w:val="28"/>
                <w:szCs w:val="28"/>
              </w:rPr>
            </w:r>
          </w:p>
        </w:tc>
      </w:tr>
      <w:tr>
        <w:tblPrEx/>
        <w:trPr>
          <w:trHeight w:val="12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5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Отсутствие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99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tabs>
                <w:tab w:val="clear" w:pos="708" w:leader="none"/>
                <w:tab w:val="left" w:pos="1891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(задолженность отсутствует/задолженность имеется)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numPr>
          <w:ilvl w:val="0"/>
          <w:numId w:val="1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стоянке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973"/>
        <w:tblW w:w="9924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6"/>
        <w:gridCol w:w="7373"/>
        <w:gridCol w:w="1985"/>
      </w:tblGrid>
      <w:tr>
        <w:tblPrEx/>
        <w:trPr>
          <w:trHeight w:val="158"/>
        </w:trPr>
        <w:tc>
          <w:tcPr>
            <w:tcW w:w="566" w:type="dxa"/>
            <w:vMerge w:val="restart"/>
            <w:textDirection w:val="lrTb"/>
            <w:noWrap w:val="false"/>
          </w:tcPr>
          <w:p>
            <w:pPr>
              <w:pStyle w:val="960"/>
              <w:ind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3" w:type="dxa"/>
            <w:vMerge w:val="restart"/>
            <w:textDirection w:val="lrTb"/>
            <w:noWrap w:val="false"/>
          </w:tcPr>
          <w:p>
            <w:pPr>
              <w:pStyle w:val="960"/>
              <w:ind w:firstLine="0"/>
              <w:jc w:val="left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  <w:t xml:space="preserve">Видеонаблюдение стоянки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0"/>
              <w:ind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  <w:t xml:space="preserve">да/нет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trHeight w:val="157"/>
        </w:trPr>
        <w:tc>
          <w:tcPr>
            <w:tcW w:w="566" w:type="dxa"/>
            <w:vMerge w:val="continue"/>
            <w:textDirection w:val="lrTb"/>
            <w:noWrap w:val="false"/>
          </w:tcPr>
          <w:p>
            <w:pPr>
              <w:pStyle w:val="960"/>
              <w:ind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3" w:type="dxa"/>
            <w:vMerge w:val="continue"/>
            <w:textDirection w:val="lrTb"/>
            <w:noWrap w:val="false"/>
          </w:tcPr>
          <w:p>
            <w:pPr>
              <w:pStyle w:val="960"/>
              <w:ind w:firstLine="0"/>
              <w:jc w:val="left"/>
              <w:spacing w:before="0" w:after="0"/>
              <w:widowControl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0"/>
              <w:ind w:firstLine="0"/>
              <w:jc w:val="left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566" w:type="dxa"/>
            <w:textDirection w:val="lrTb"/>
            <w:noWrap w:val="false"/>
          </w:tcPr>
          <w:p>
            <w:pPr>
              <w:pStyle w:val="960"/>
              <w:ind w:firstLine="0"/>
              <w:jc w:val="center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7373" w:type="dxa"/>
            <w:textDirection w:val="lrTb"/>
            <w:noWrap w:val="false"/>
          </w:tcPr>
          <w:p>
            <w:pPr>
              <w:pStyle w:val="960"/>
              <w:ind w:firstLine="0"/>
              <w:jc w:val="left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  <w:t xml:space="preserve">Размер площади стоянки (кв.м.), либо количество транспортных средств (ед.), которые могут быть размещены на стоянке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pStyle w:val="960"/>
              <w:ind w:firstLine="0"/>
              <w:jc w:val="left"/>
              <w:spacing w:before="0" w:after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numPr>
          <w:ilvl w:val="0"/>
          <w:numId w:val="1"/>
        </w:num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эвакуаторах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4800" w:type="pc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00" w:firstRow="0" w:lastRow="0" w:firstColumn="0" w:lastColumn="0" w:noHBand="0" w:noVBand="0"/>
      </w:tblPr>
      <w:tblGrid>
        <w:gridCol w:w="4774"/>
        <w:gridCol w:w="2529"/>
        <w:gridCol w:w="2493"/>
      </w:tblGrid>
      <w:tr>
        <w:tblPrEx/>
        <w:trPr>
          <w:cantSplit/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Марка, модель т/с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Год выпуска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2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Общий пробег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Гос. регистрационный знак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5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Собственный или по договору аренды, лизинга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Грузоподъемность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(масса перевозимого груза), кг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6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привода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(кран манипулятор или лебёдка)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4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платформы 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(стационарная или сдвижная, прямая или ломаная) 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Тип погрузки</w:t>
            </w:r>
            <w:r>
              <w:rPr>
                <w:b w:val="0"/>
                <w:szCs w:val="28"/>
                <w:u w:val="none"/>
              </w:rPr>
            </w:r>
          </w:p>
          <w:p>
            <w:pPr>
              <w:pStyle w:val="948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(полная или частичная)</w:t>
            </w:r>
            <w:r>
              <w:rPr>
                <w:b w:val="0"/>
                <w:szCs w:val="28"/>
                <w:u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ремнями безопасности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аппаратурой спутниковой навигации ГЛОНАСС/GPS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  <w:tr>
        <w:tblPrEx/>
        <w:trPr>
          <w:cantSplit/>
          <w:trHeight w:val="3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74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организацией, оказывающей телематические услуги связи по мониторингу эвакуаторов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(да/нет)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9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3" w:type="dxa"/>
            <w:textDirection w:val="lrTb"/>
            <w:noWrap w:val="false"/>
          </w:tcPr>
          <w:p>
            <w:pPr>
              <w:pStyle w:val="9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6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указанных в настоящей конкурсной заявке, подтверждаю.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условиями проведения конкурса и на обработку персональных данных согласен.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заявке прилагаются документы согласно представленной описи, в соответствии с п.16 конкурсной документации.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Подпись 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(Ф.И.О.)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«___» ____________ 2025 г.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4"/>
        <w:widowControl/>
        <w:rPr>
          <w:rFonts w:ascii="Times New Roman" w:hAnsi="Times New Roman" w:cs="Times New Roman"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default" r:id="rId16"/>
          <w:footerReference w:type="even" r:id="rId17"/>
          <w:footerReference w:type="first" r:id="rId18"/>
          <w:footnotePr/>
          <w:endnotePr/>
          <w:type w:val="nextPage"/>
          <w:pgSz w:w="11906" w:h="16838" w:orient="portrait"/>
          <w:pgMar w:top="1191" w:right="567" w:bottom="1191" w:left="1134" w:header="1134" w:footer="1134" w:gutter="0"/>
          <w:pgNumType w:start="1"/>
          <w:cols w:num="1" w:sep="0" w:space="1701" w:equalWidth="1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М.П.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Критерии определения победителя конкурса</w:t>
      </w:r>
      <w:r>
        <w:rPr>
          <w:b/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94"/>
        <w:gridCol w:w="6177"/>
        <w:gridCol w:w="968"/>
        <w:gridCol w:w="2433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п/п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Параметры оценки конкурсного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предложения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подсчета баллов</w:t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площади стоянки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restart"/>
            <w:textDirection w:val="lrTb"/>
            <w:noWrap w:val="false"/>
          </w:tcPr>
          <w:p>
            <w:pPr>
              <w:pStyle w:val="913"/>
            </w:pPr>
            <w:r>
              <w:rPr>
                <w:sz w:val="28"/>
                <w:szCs w:val="28"/>
              </w:rPr>
              <w:t xml:space="preserve">Каждой стоянке присваивается определенный балл в соответствии с размером площади стоянки</w:t>
            </w:r>
            <w:r/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5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600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700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2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5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700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800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3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5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800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900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1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5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900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  <w:t xml:space="preserve">до 1000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color w:val="ff0000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3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5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свыше 1000 м</w:t>
            </w:r>
            <w:r>
              <w:rPr>
                <w:szCs w:val="28"/>
                <w:vertAlign w:val="superscript"/>
              </w:rPr>
              <w:t xml:space="preserve">2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стажировки водителей эвакуаторов прохождение инструктажей</w:t>
            </w:r>
            <w:r>
              <w:rPr>
                <w:sz w:val="28"/>
                <w:szCs w:val="28"/>
              </w:rPr>
              <w:t xml:space="preserve">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Правил дорожного движения, изучение типичных дорожно-транспортных ситуаций повышенной опасности.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restart"/>
            <w:textDirection w:val="lrTb"/>
            <w:noWrap w:val="false"/>
          </w:tcPr>
          <w:p>
            <w:pPr>
              <w:pStyle w:val="913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3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3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Видеонаблюдение стоянки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restart"/>
            <w:textDirection w:val="lrTb"/>
            <w:noWrap w:val="false"/>
          </w:tcPr>
          <w:p>
            <w:pPr>
              <w:pStyle w:val="913"/>
              <w:jc w:val="both"/>
            </w:pPr>
            <w:r>
              <w:br/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2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continue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Align w:val="center"/>
            <w:vMerge w:val="restart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Оснащение эвакуаторов, которые указаны в конкурсной заявке, спутниковой навигации ГЛОНАСС или ГЛОНАСС/GPS и заключение договора с организацией, оказывающей телематические услуги связи по мониторингу эвакуаторов.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restart"/>
            <w:textDirection w:val="lrTb"/>
            <w:noWrap w:val="false"/>
          </w:tcPr>
          <w:p>
            <w:pPr>
              <w:pStyle w:val="913"/>
              <w:jc w:val="both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7" w:type="dxa"/>
            <w:textDirection w:val="lrTb"/>
            <w:noWrap w:val="false"/>
          </w:tcPr>
          <w:p>
            <w:pPr>
              <w:pStyle w:val="96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3" w:type="dxa"/>
            <w:vMerge w:val="continue"/>
            <w:textDirection w:val="lrTb"/>
            <w:noWrap w:val="false"/>
          </w:tcPr>
          <w:p>
            <w:pPr>
              <w:pStyle w:val="913"/>
              <w:jc w:val="center"/>
            </w:pPr>
            <w:r/>
            <w:r/>
          </w:p>
        </w:tc>
      </w:tr>
    </w:tbl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  <w:sectPr>
          <w:headerReference w:type="default" r:id="rId12"/>
          <w:headerReference w:type="first" r:id="rId13"/>
          <w:footerReference w:type="default" r:id="rId19"/>
          <w:footerReference w:type="first" r:id="rId20"/>
          <w:footnotePr/>
          <w:endnotePr/>
          <w:type w:val="nextPage"/>
          <w:pgSz w:w="11906" w:h="16838" w:orient="portrait"/>
          <w:pgMar w:top="1191" w:right="744" w:bottom="1191" w:left="851" w:header="1134" w:footer="1134" w:gutter="0"/>
          <w:pgNumType w:start="1"/>
          <w:cols w:num="1" w:sep="0" w:space="1701" w:equalWidth="1"/>
          <w:docGrid w:linePitch="360"/>
        </w:sect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3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3"/>
        <w:jc w:val="center"/>
        <w:rPr>
          <w:sz w:val="28"/>
        </w:rPr>
      </w:pPr>
      <w:r>
        <w:rPr>
          <w:sz w:val="28"/>
        </w:rPr>
        <w:t xml:space="preserve">ГРАФИК КОНКУРСНЫХ МЕРОПРИЯТИЙ</w:t>
      </w:r>
      <w:r>
        <w:rPr>
          <w:sz w:val="28"/>
        </w:rPr>
      </w:r>
    </w:p>
    <w:p>
      <w:pPr>
        <w:pStyle w:val="913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tbl>
      <w:tblPr>
        <w:tblW w:w="9606" w:type="dxa"/>
        <w:tblInd w:w="-12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934"/>
        <w:gridCol w:w="5671"/>
      </w:tblGrid>
      <w:tr>
        <w:tblPrEx/>
        <w:trPr>
          <w:trHeight w:val="6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7.04.2025 г., с 09-00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приема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28.04.2025 г., в 14-00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приема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05.05.2025 г., с 14-15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конвертов с конкурсными заявками на участие в конкурсе, начало рассмотрения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7.05.2025 г., в 16-00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вскрытия конвертов с конкурсными заявками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8.05.2025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jc w:val="both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вскрытия конвертов с конкурсными заявками на официальной сайте Министерства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19.05.2025 г., в 10-00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рассмотрения конкурсных заявок, подведение итогов рассмотрения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23.05.2025 г.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рассмотрения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27.05.2025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уведомлений о принятых конкурсной комиссией решениях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5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29.05.2025 г.,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проекта договора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02.06.2025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Возврат подписанного проекта договора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5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конкурсе приняли участие несколько участников конкурса и их конкурсные заявки и документы, прилагаемые к конкурсной заявке, соответствуют требованиям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оценки и сопоставления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Подписание протокола оценки и сопоставления конкурсных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победителям конкурса копии протокола и проекта договора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29.05.2025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оценки и сопоставления заявок на официальном сайте и направление участникам конкурса уведомления об итогах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02.06.2025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участником конкурса, признанным победителем такого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34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 06.06.2025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1" w:type="dxa"/>
            <w:vAlign w:val="center"/>
            <w:textDirection w:val="lrTb"/>
            <w:noWrap w:val="false"/>
          </w:tcPr>
          <w:p>
            <w:pPr>
              <w:pStyle w:val="913"/>
              <w:spacing w:before="0" w:after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реестре специализированных стоянок информации об адресах расположения участника конкурса, с которым заключен договор, контактных телефонах в информационно-телекоммуникационной сети «Интернет»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3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Конкурсные мероприятия, указанные в Графике, проводятся по адресу: УР, г. Ижевск, ул. Кирова, 22, Министерство транспорта и дорожного Удмуртской Республики;</w:t>
      </w:r>
      <w:r>
        <w:rPr>
          <w:sz w:val="28"/>
          <w:szCs w:val="28"/>
        </w:rPr>
      </w:r>
    </w:p>
    <w:p>
      <w:pPr>
        <w:pStyle w:val="91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прием заявок в кабинете № 212 (в рабочие дни с 09-00 ч. до 12-00 ч. и с 13-00 до 16-00 ч. в рабочие дни;</w:t>
      </w:r>
      <w:r>
        <w:rPr>
          <w:sz w:val="28"/>
          <w:szCs w:val="28"/>
        </w:rPr>
      </w:r>
    </w:p>
    <w:p>
      <w:pPr>
        <w:pStyle w:val="91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вскрытие конвертов с конкурсными заявками на участие в конкурсе в кабинете № 212);</w:t>
      </w:r>
      <w:r>
        <w:rPr>
          <w:sz w:val="28"/>
          <w:szCs w:val="28"/>
        </w:rPr>
      </w:r>
    </w:p>
    <w:p>
      <w:pPr>
        <w:pStyle w:val="913"/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- подведение итогов конкурса и объявление его результатов в кабинете № 212).</w:t>
      </w:r>
      <w:r>
        <w:rPr>
          <w:sz w:val="28"/>
          <w:szCs w:val="28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4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center"/>
        <w:rPr>
          <w:bCs/>
        </w:rPr>
      </w:pPr>
      <w:r>
        <w:rPr>
          <w:bCs/>
        </w:rPr>
      </w:r>
      <w:r>
        <w:rPr>
          <w:bCs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общей площади стоянок в муниципальных образованиях</w:t>
      </w:r>
      <w:r>
        <w:rPr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4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515"/>
        <w:gridCol w:w="4828"/>
      </w:tblGrid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5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Место расположения стоянок</w:t>
            </w:r>
            <w:r>
              <w:rPr>
                <w:b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vAlign w:val="center"/>
            <w:textDirection w:val="lrTb"/>
            <w:noWrap w:val="false"/>
          </w:tcPr>
          <w:p>
            <w:pPr>
              <w:pStyle w:val="9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Площадь стоянок</w:t>
            </w:r>
            <w:r>
              <w:rPr>
                <w:b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15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муниципальных образованиях Удмуртской Республики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не менее 600 кв.м.</w:t>
            </w:r>
            <w:r>
              <w:rPr>
                <w:sz w:val="24"/>
                <w:szCs w:val="24"/>
              </w:rPr>
            </w:r>
          </w:p>
        </w:tc>
      </w:tr>
    </w:tbl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3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5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конкурсной документации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6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ДОГОВОР</w:t>
      </w:r>
      <w:r>
        <w:rPr>
          <w:b/>
          <w:bCs/>
          <w:sz w:val="28"/>
          <w:szCs w:val="28"/>
        </w:rPr>
      </w:r>
    </w:p>
    <w:p>
      <w:pPr>
        <w:pStyle w:val="913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оказании услуг по перемещению задержанных транспортных средств на специализированную стоянку, хранению и возврату</w:t>
      </w:r>
      <w:r>
        <w:rPr>
          <w:b/>
          <w:bCs/>
          <w:sz w:val="28"/>
          <w:szCs w:val="28"/>
        </w:rPr>
      </w:r>
    </w:p>
    <w:p>
      <w:pPr>
        <w:pStyle w:val="960"/>
        <w:jc w:val="righ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Ижевск</w:t>
        <w:tab/>
        <w:t xml:space="preserve">                                                                                    ________202</w:t>
      </w:r>
      <w:r>
        <w:rPr>
          <w:sz w:val="28"/>
          <w:szCs w:val="28"/>
        </w:rPr>
        <w:t xml:space="preserve">_</w:t>
      </w:r>
      <w:r>
        <w:rPr>
          <w:sz w:val="28"/>
          <w:szCs w:val="28"/>
        </w:rPr>
        <w:t xml:space="preserve"> г.</w:t>
        <w:tab/>
      </w:r>
      <w:r>
        <w:rPr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Министерство транспорта и дорожного хозяйства Удмуртской Республики, именуемое в дальнейшем «Министерство», в лице министра А.В. Горбачева, действующего</w:t>
      </w:r>
      <w:r>
        <w:rPr>
          <w:sz w:val="28"/>
          <w:szCs w:val="28"/>
        </w:rPr>
        <w:t xml:space="preserve"> на основании положения о Министерстве, с одной стороны, и____________________________, действующий на основании________________________________, именуемый в дальнейшем «хозяйствующий субъект», с другой стороны, заключили настоящий договор о нижеследующем:</w:t>
      </w:r>
      <w:r>
        <w:rPr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Предмет Договора</w:t>
      </w:r>
      <w:r>
        <w:rPr>
          <w:b/>
          <w:bCs/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</w:t>
        <w:tab/>
        <w:t xml:space="preserve">Министерство поручает, а хозяйствующий субъект принимает на себя обязательства по оказанию услу</w:t>
      </w:r>
      <w:r>
        <w:rPr>
          <w:sz w:val="28"/>
          <w:szCs w:val="28"/>
        </w:rPr>
        <w:t xml:space="preserve">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Данный договор заключается на условиях, указанных в поданной конкурсной заявке на участие в конкурсе и с учетом положений конкурсной документации.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Состав услуг по договору: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1.3.1. Организация круглосуточного приема и учета заявок от должностных лиц органов внутренних дел Российской Федерации на помещение задержанных транспортных средств на специализированную стоянку.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Принятие необходимых мер для скорейшего прибытия специализиро</w:t>
      </w:r>
      <w:r>
        <w:rPr>
          <w:sz w:val="28"/>
          <w:szCs w:val="28"/>
        </w:rPr>
        <w:t xml:space="preserve">ванного транспортного средства (эвакуатора) для перемещения задержанного транспортного средства к месту нахождения задержанного транспортного средства. Информирование должностных лиц органа внутренних дел Российской Федерации о времени прибытия эвакуатора.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</w:t>
      </w:r>
      <w:r>
        <w:rPr>
          <w:sz w:val="28"/>
          <w:szCs w:val="28"/>
        </w:rPr>
        <w:t xml:space="preserve">Перемещение (транспортировка) задержанных транспортных средств и их хранение осуществляется на специализированную стоянку, расположенную по адресу: ___________________________________________ - с соблюдением необходимых требований по сохранности имущества.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1.3.4. Перемещение задержанных транспортных средств на специализированную стоянку, учет, хранение и выдача задержанны</w:t>
      </w:r>
      <w:r>
        <w:rPr>
          <w:sz w:val="28"/>
          <w:szCs w:val="28"/>
        </w:rPr>
        <w:t xml:space="preserve">х транспортных средств осуществляется в соответствии с порядком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средств, установле</w:t>
      </w:r>
      <w:r>
        <w:rPr>
          <w:sz w:val="28"/>
          <w:szCs w:val="28"/>
        </w:rPr>
        <w:t xml:space="preserve">нным Законом Удмуртской Республики от 28 июня 2012 года № 36-РЗ 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средств».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Права и обязанности Сторон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Министерство вправе: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требовать от хозяйствующего субъекта </w:t>
      </w:r>
      <w:r>
        <w:rPr>
          <w:sz w:val="28"/>
          <w:szCs w:val="28"/>
        </w:rPr>
        <w:t xml:space="preserve">предоставления информации (сообщений, сведений, данных) о выполнении обязанностей, предусмотренных настоящим договором. Информация (сообщения, сведения, данные) предоставляются хозяйствующим субъектом в форме, виде и количестве, определяемой Министерством.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Хозяйствующий субъект обязуется: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</w:t>
        <w:tab/>
        <w:t xml:space="preserve">Нести все расходы, связанные с оказанием услуг, оказание кото</w:t>
      </w:r>
      <w:r>
        <w:rPr>
          <w:sz w:val="28"/>
          <w:szCs w:val="28"/>
        </w:rPr>
        <w:t xml:space="preserve">рых необходимо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В случае поступления в адрес хозяйствующего субъекта предписаний должностных лиц Министерства и органов внутренних дел Российской Федерации исполнять указанные предписания собственными силами и средствами.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Осуществлять перемещение (транспортировку), приём-передачу, хранение и учёт транспортных средств, вз</w:t>
      </w:r>
      <w:r>
        <w:rPr>
          <w:sz w:val="28"/>
          <w:szCs w:val="28"/>
        </w:rPr>
        <w:t xml:space="preserve">аимодействие с должностными лицами органа внутренних дел Российской Федерации, иными должностными лицами, а также любые функции и обязанности, относящиеся к предмету договора, в соответствии с законодательством Российской Федерации и Удмуртской Республики.</w:t>
      </w:r>
      <w:r>
        <w:rPr>
          <w:sz w:val="28"/>
          <w:szCs w:val="28"/>
        </w:rPr>
      </w:r>
    </w:p>
    <w:p>
      <w:pPr>
        <w:pStyle w:val="9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Начать оказание услуг, необходимых для обе</w:t>
      </w:r>
      <w:r>
        <w:rPr>
          <w:sz w:val="28"/>
          <w:szCs w:val="28"/>
        </w:rPr>
        <w:t xml:space="preserve">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средством, с момента подписания </w:t>
      </w:r>
      <w:r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договора (соглашения).</w:t>
      </w:r>
      <w:r>
        <w:rPr>
          <w:sz w:val="28"/>
          <w:szCs w:val="28"/>
        </w:rPr>
      </w:r>
    </w:p>
    <w:p>
      <w:pPr>
        <w:pStyle w:val="913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2.2.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</w:t>
        <w:tab/>
        <w:t xml:space="preserve">Предоставлять Министерству информацию на условиях, установленных п. 2.1. настоящего договора. </w:t>
      </w:r>
      <w:r>
        <w:rPr>
          <w:sz w:val="28"/>
          <w:szCs w:val="28"/>
        </w:rPr>
      </w:r>
    </w:p>
    <w:p>
      <w:pPr>
        <w:pStyle w:val="9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Оплата расходов</w:t>
      </w:r>
      <w:r>
        <w:rPr>
          <w:sz w:val="28"/>
          <w:szCs w:val="28"/>
        </w:rPr>
      </w:r>
    </w:p>
    <w:p>
      <w:pPr>
        <w:pStyle w:val="913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перемещение и хранение задержанного транспортного средства</w:t>
      </w:r>
      <w:r>
        <w:rPr>
          <w:b/>
          <w:bCs/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ind w:firstLine="708"/>
        <w:jc w:val="both"/>
        <w:spacing w:before="0" w:after="144" w:line="242" w:lineRule="atLeas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3.1. Оплата расходов на перемещение (включая погрузку и разгрузку) и хранение задержанного транспортного средства осуществляется 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требованиями «Кодекса Российской Федерации об административных правонарушениях» от 30 декабря 2001 года № 195-ФЗ, Федерального закона от 22 мая 2003 года № 54-ФЗ «О применении контрольно-кассовой техники при осуществлении расчетов в Российской Федерации»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Законом Удмуртской Республики от 28 июня 2012 года № 36-РЗ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средств» 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действующими тарифами на перемещение (включая погрузку и разгрузку) и хранение задержанных транспортных средств на специализированных стоянках, установленными уполномоченным органом исполнительной власти Удмуртской Республики.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Ответственность сторон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</w:t>
        <w:tab/>
        <w:t xml:space="preserve"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</w:t>
        <w:tab/>
        <w:t xml:space="preserve">Окончание срока действия настоящего договора не освобождает стороны от ответственности за нарушение условий в период его действия.</w:t>
      </w:r>
      <w:r>
        <w:rPr>
          <w:sz w:val="28"/>
          <w:szCs w:val="28"/>
        </w:rPr>
      </w:r>
    </w:p>
    <w:p>
      <w:pPr>
        <w:pStyle w:val="913"/>
        <w:ind w:firstLine="72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3"/>
        <w:ind w:firstLine="720"/>
        <w:jc w:val="center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Условия расторжения договора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Договор расторгается Министерством в одностороннем порядке с уведомлением об этом хозяйствующего субъекта не менее чем за 30 дней до даты расторжения договора в следующем случае: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неоднократного (более двух раз в течение календарного года) причинения вреда задержанному транспортному средству и находящемуся в нем имуществу при перемещении транспортного средства на специализированную стоянку и его хранении.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Договор расторгается Министерством в одностороннем порядке с уведомлением об этом хозяйствующего субъекта не менее чем за 10 календарных дней до даты расторжения договора в следующих случаях: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не приступил к осуществлению деятельности по перемещению транспортных средств на специализированную стоянку, их хранению и возврату транспортных средств в срок, установленный договором;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уклонялся от осуществления деятельности по перемещению транспортных средств на специализированную стоянку, их хранению и возврату транспортных средств, за исключением случаев, обусловленных действием чрезвычайных обстоятельств;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хозяйствующий субъект уклоняется от проведения плановых (вн</w:t>
      </w:r>
      <w:r>
        <w:rPr>
          <w:sz w:val="28"/>
          <w:szCs w:val="28"/>
        </w:rPr>
        <w:t xml:space="preserve">еплановых) проверок исполнения условий договора на осуществление деятельности по перемещению транспортных средств на специализированную стоянку, их хранению и возврату транспортных средств или чинит необоснованные препятствия проведению указанных проверок;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Порядок проведения конкурса по определению специализированной организации, имеющей право заключить договор об оказа</w:t>
      </w:r>
      <w:r>
        <w:rPr>
          <w:sz w:val="28"/>
          <w:szCs w:val="28"/>
        </w:rPr>
        <w:t xml:space="preserve">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21 декабря 2012 года № 592 утратил силу, либо претерпел существенные изменения.</w:t>
      </w:r>
      <w:r>
        <w:rPr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Обстоятельства непреодолимой силы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обязательств по настоящему договору в случае действия обстоятельств непреодолимой силы.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7. Заключительные положения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Настоящий договор вступает в силу с момента его подписания и действует в течение пяти лет, если иное не предусмотрено разделом 5 настоящего договора.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Споры, возникающие при исполнении договора, рассматриваются Арбитражным судом Удмуртской Республики или путем переговоров.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При изменении наименования, адреса, банковских реквизитов или реорганизации Стороны информируют друг друга в письменном виде в десятидневный срок.</w:t>
      </w:r>
      <w:r>
        <w:rPr>
          <w:sz w:val="28"/>
          <w:szCs w:val="28"/>
        </w:rPr>
      </w:r>
    </w:p>
    <w:p>
      <w:pPr>
        <w:pStyle w:val="91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Настоящий договор составлен в двух экземплярах, имеющих одинаковую юридическую силу, один из которых находится у Министерства, второй -  у хозяйствующего субъекта.</w:t>
      </w:r>
      <w:r>
        <w:rPr>
          <w:sz w:val="28"/>
          <w:szCs w:val="28"/>
        </w:rPr>
      </w:r>
    </w:p>
    <w:p>
      <w:pPr>
        <w:pStyle w:val="91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8. Юридические адреса Сторон</w:t>
      </w:r>
      <w:r>
        <w:rPr>
          <w:b/>
          <w:bCs/>
          <w:sz w:val="28"/>
          <w:szCs w:val="28"/>
        </w:rPr>
      </w:r>
    </w:p>
    <w:p>
      <w:pPr>
        <w:pStyle w:val="913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354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745"/>
        <w:gridCol w:w="4608"/>
      </w:tblGrid>
      <w:tr>
        <w:tblPrEx/>
        <w:trPr>
          <w:trHeight w:val="1261"/>
        </w:trPr>
        <w:tc>
          <w:tcPr>
            <w:tcW w:w="4745" w:type="dxa"/>
            <w:textDirection w:val="lrTb"/>
            <w:noWrap w:val="false"/>
          </w:tcPr>
          <w:p>
            <w:pPr>
              <w:pStyle w:val="913"/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Миндортранс УР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913"/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ОГРН 1091831007290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ОКТМО 94701000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ИНН 1831138480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КПП 183101001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Место нахождения: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426033, г. Ижевск, ул. Кирова, д.22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Платежные реквизиты: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л/с 03807136011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Наименование учреждения банка России: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ОТДЕЛЕНИЕ-НБ УДМУРТСКАЯ РЕСПУБЛИКА БАНКА РОССИИ//УФК по Удмуртской Республике г. Ижевск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БИК ТОФК 019401100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КС 03221643940000001300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ЕКС 40102810545370000081</w:t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13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</w:r>
            <w:r>
              <w:rPr>
                <w:rFonts w:eastAsia="Calibri"/>
                <w:sz w:val="28"/>
                <w:szCs w:val="28"/>
                <w:lang w:val="en-US"/>
              </w:rPr>
            </w:r>
          </w:p>
        </w:tc>
        <w:tc>
          <w:tcPr>
            <w:tcW w:w="4608" w:type="dxa"/>
            <w:textDirection w:val="lrTb"/>
            <w:noWrap w:val="false"/>
          </w:tcPr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Хозяйствующий субъект</w:t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Подписи представителей сторон</w:t>
      </w:r>
      <w:r>
        <w:rPr>
          <w:b/>
          <w:bCs/>
          <w:sz w:val="28"/>
          <w:szCs w:val="28"/>
        </w:rPr>
      </w:r>
    </w:p>
    <w:p>
      <w:pPr>
        <w:pStyle w:val="9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_____________/</w:t>
      </w:r>
      <w:r>
        <w:rPr>
          <w:bCs/>
          <w:sz w:val="28"/>
          <w:szCs w:val="28"/>
        </w:rPr>
        <w:t xml:space="preserve">__________                                   </w:t>
      </w:r>
      <w:r>
        <w:rPr>
          <w:b/>
          <w:bCs/>
          <w:sz w:val="28"/>
          <w:szCs w:val="28"/>
        </w:rPr>
        <w:t xml:space="preserve">__________ /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3"/>
        <w:numPr>
          <w:ilvl w:val="0"/>
          <w:numId w:val="0"/>
        </w:numPr>
        <w:jc w:val="right"/>
        <w:rPr>
          <w:sz w:val="28"/>
          <w:szCs w:val="28"/>
          <w:lang w:eastAsia="ar-SA"/>
        </w:rPr>
        <w:outlineLvl w:val="1"/>
      </w:pPr>
      <w:r>
        <w:rPr>
          <w:sz w:val="28"/>
          <w:szCs w:val="28"/>
          <w:lang w:eastAsia="ar-SA"/>
        </w:rPr>
        <w:t xml:space="preserve">Приложение № 1 к Договору</w:t>
      </w:r>
      <w:r>
        <w:rPr>
          <w:sz w:val="28"/>
          <w:szCs w:val="28"/>
          <w:lang w:eastAsia="ar-SA"/>
        </w:rPr>
      </w:r>
    </w:p>
    <w:p>
      <w:pPr>
        <w:pStyle w:val="913"/>
        <w:numPr>
          <w:ilvl w:val="0"/>
          <w:numId w:val="0"/>
        </w:numPr>
        <w:jc w:val="right"/>
        <w:rPr>
          <w:sz w:val="28"/>
          <w:szCs w:val="28"/>
          <w:lang w:eastAsia="ar-SA"/>
        </w:rPr>
        <w:outlineLvl w:val="1"/>
      </w:pPr>
      <w:r>
        <w:rPr>
          <w:sz w:val="28"/>
          <w:szCs w:val="28"/>
          <w:lang w:eastAsia="ar-SA"/>
        </w:rPr>
        <w:t xml:space="preserve">№ </w:t>
      </w:r>
      <w:r>
        <w:rPr>
          <w:sz w:val="28"/>
          <w:szCs w:val="28"/>
          <w:lang w:eastAsia="ar-SA"/>
        </w:rPr>
        <w:t xml:space="preserve">________ от _________2025 г.</w:t>
      </w:r>
      <w:r>
        <w:rPr>
          <w:sz w:val="28"/>
          <w:szCs w:val="28"/>
          <w:lang w:eastAsia="ar-SA"/>
        </w:rPr>
      </w:r>
    </w:p>
    <w:p>
      <w:pPr>
        <w:pStyle w:val="913"/>
        <w:ind w:left="709"/>
        <w:spacing w:before="0" w:after="200" w:line="276" w:lineRule="auto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</w:r>
      <w:r>
        <w:rPr>
          <w:b/>
          <w:sz w:val="28"/>
          <w:szCs w:val="28"/>
          <w:lang w:eastAsia="ar-SA"/>
        </w:rPr>
      </w:r>
    </w:p>
    <w:p>
      <w:pPr>
        <w:pStyle w:val="913"/>
        <w:ind w:left="709"/>
        <w:jc w:val="center"/>
        <w:spacing w:before="0" w:after="20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Взаимодействие с оператором региональной </w:t>
      </w:r>
      <w:r>
        <w:rPr>
          <w:b/>
          <w:sz w:val="28"/>
          <w:szCs w:val="28"/>
          <w:lang w:eastAsia="en-US"/>
        </w:rPr>
        <w:t xml:space="preserve">навигационно-информационной системы Удмуртской Республики</w:t>
      </w:r>
      <w:r>
        <w:rPr>
          <w:b/>
          <w:sz w:val="28"/>
          <w:szCs w:val="28"/>
          <w:lang w:eastAsia="ar-SA"/>
        </w:rPr>
      </w:r>
    </w:p>
    <w:p>
      <w:pPr>
        <w:pStyle w:val="913"/>
        <w:numPr>
          <w:ilvl w:val="0"/>
          <w:numId w:val="2"/>
        </w:numPr>
        <w:contextualSpacing/>
        <w:ind w:left="0" w:firstLine="709"/>
        <w:jc w:val="both"/>
        <w:spacing w:before="0" w:after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Хозяйствующий субъект обеспечивает передачу в региональную навигационно-информационную систему Удмуртской Республики (далее - РНИС) мониторинговой информации в режиме реального времени с периодичностью от 5 до 20 секунд.</w:t>
      </w:r>
      <w:r>
        <w:rPr>
          <w:sz w:val="28"/>
          <w:szCs w:val="28"/>
          <w:lang w:eastAsia="en-US"/>
        </w:rPr>
      </w:r>
    </w:p>
    <w:p>
      <w:pPr>
        <w:pStyle w:val="913"/>
        <w:numPr>
          <w:ilvl w:val="1"/>
          <w:numId w:val="2"/>
        </w:numPr>
        <w:ind w:left="0" w:firstLine="709"/>
        <w:jc w:val="both"/>
        <w:widowControl w:val="off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В срок не позднее, чем 5 (пять) рабочих дней с момента заключения Договора</w:t>
      </w:r>
      <w:r>
        <w:rPr>
          <w:sz w:val="28"/>
          <w:szCs w:val="28"/>
        </w:rPr>
        <w:t xml:space="preserve"> Хозяйствующий субъект направляет в Министерство следующую справочную информацию:</w:t>
      </w:r>
      <w:r>
        <w:rPr>
          <w:sz w:val="28"/>
          <w:szCs w:val="28"/>
        </w:rPr>
      </w:r>
    </w:p>
    <w:p>
      <w:pPr>
        <w:pStyle w:val="91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перечень</w:t>
      </w:r>
      <w:r>
        <w:rPr>
          <w:sz w:val="28"/>
          <w:szCs w:val="28"/>
          <w:lang w:eastAsia="ar-SA"/>
        </w:rPr>
        <w:t xml:space="preserve"> транспортных средств, эксплуатация которых предполагается для выполнения работ, с указанием следующих сведений в отношении каждого такого транспортного средства: марка и модель транспортного средства, серия и номер государственного регистрационного знака;</w:t>
      </w:r>
      <w:r>
        <w:rPr>
          <w:sz w:val="28"/>
          <w:szCs w:val="28"/>
          <w:lang w:eastAsia="ar-SA"/>
        </w:rPr>
      </w:r>
    </w:p>
    <w:p>
      <w:pPr>
        <w:pStyle w:val="913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перечень абонентских терминалов аппаратуры спутниковой нави</w:t>
      </w:r>
      <w:r>
        <w:rPr>
          <w:sz w:val="28"/>
          <w:szCs w:val="28"/>
          <w:lang w:eastAsia="ar-SA"/>
        </w:rPr>
        <w:t xml:space="preserve">гации ГЛОНАСС или ГЛОНАСС/GPS (далее – абонентский терминал), эксплуатация которых предполагается для выполнения работ, с указанием следующих сведений в отношении каждого абонентского терминала: марка и модель терминала, идентификационный номер терминала. </w:t>
      </w:r>
      <w:r>
        <w:rPr>
          <w:sz w:val="28"/>
          <w:szCs w:val="28"/>
          <w:lang w:eastAsia="ar-SA"/>
        </w:rPr>
      </w:r>
    </w:p>
    <w:p>
      <w:pPr>
        <w:pStyle w:val="913"/>
        <w:ind w:firstLine="708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shd w:val="clear" w:color="auto" w:fill="ffffff"/>
        </w:rPr>
        <w:t xml:space="preserve">Формат предоставляемых сведений должен соответствовать следующим требованиям, представленным в таблице:</w:t>
      </w:r>
      <w:r>
        <w:rPr>
          <w:sz w:val="28"/>
          <w:szCs w:val="28"/>
          <w:lang w:eastAsia="ar-SA"/>
        </w:rPr>
      </w:r>
    </w:p>
    <w:tbl>
      <w:tblPr>
        <w:tblW w:w="9462" w:type="dxa"/>
        <w:tblInd w:w="2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3096"/>
        <w:gridCol w:w="21"/>
        <w:gridCol w:w="2091"/>
        <w:gridCol w:w="4254"/>
      </w:tblGrid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textDirection w:val="lrTb"/>
            <w:noWrap w:val="false"/>
          </w:tcPr>
          <w:p>
            <w:pPr>
              <w:pStyle w:val="913"/>
              <w:jc w:val="both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Состав данных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Тип данных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jc w:val="both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Примечание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Серия и номер государственного регистрационного знака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Марка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96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Модель транспортного средства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gridSpan w:val="2"/>
            <w:tcBorders>
              <w:bottom w:val="single" w:color="000000" w:sz="4" w:space="0"/>
              <w:right w:val="single" w:color="000000" w:sz="4" w:space="0"/>
            </w:tcBorders>
            <w:tcW w:w="2112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Идентификатор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числовой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Уникальный идентификатор или код абонентского терминала, установленного в транспортном средстве, присвоенный РНИС</w:t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Марка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  <w:tr>
        <w:tblPrEx/>
        <w:trPr>
          <w:trHeight w:val="20"/>
        </w:trPr>
        <w:tc>
          <w:tcPr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7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Модель абонентского терминала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2091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символьный</w:t>
            </w:r>
            <w:r>
              <w:rPr>
                <w:sz w:val="24"/>
                <w:szCs w:val="24"/>
                <w:lang w:eastAsia="ar-SA"/>
              </w:rPr>
            </w:r>
          </w:p>
        </w:tc>
        <w:tc>
          <w:tcPr>
            <w:tcBorders>
              <w:bottom w:val="single" w:color="000000" w:sz="4" w:space="0"/>
              <w:right w:val="single" w:color="000000" w:sz="4" w:space="0"/>
            </w:tcBorders>
            <w:tcW w:w="4254" w:type="dxa"/>
            <w:textDirection w:val="lrTb"/>
            <w:noWrap w:val="false"/>
          </w:tcPr>
          <w:p>
            <w:pPr>
              <w:pStyle w:val="913"/>
              <w:spacing w:before="0" w:after="200" w:line="276" w:lineRule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</w:r>
            <w:r>
              <w:rPr>
                <w:sz w:val="24"/>
                <w:szCs w:val="24"/>
                <w:lang w:eastAsia="ar-SA"/>
              </w:rPr>
            </w:r>
          </w:p>
        </w:tc>
      </w:tr>
    </w:tbl>
    <w:p>
      <w:pPr>
        <w:pStyle w:val="91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>
        <w:rPr>
          <w:sz w:val="28"/>
          <w:szCs w:val="28"/>
          <w:lang w:eastAsia="ar-SA"/>
        </w:rPr>
      </w:r>
    </w:p>
    <w:sectPr>
      <w:headerReference w:type="default" r:id="rId14"/>
      <w:headerReference w:type="first" r:id="rId15"/>
      <w:footerReference w:type="default" r:id="rId21"/>
      <w:footerReference w:type="first" r:id="rId22"/>
      <w:footnotePr/>
      <w:endnotePr/>
      <w:type w:val="nextPage"/>
      <w:pgSz w:w="11906" w:h="16838" w:orient="portrait"/>
      <w:pgMar w:top="766" w:right="851" w:bottom="794" w:left="170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WenQuanYi Micro Hei">
    <w:panose1 w:val="020B0606030804020204"/>
  </w:font>
  <w:font w:name="Open Sans">
    <w:panose1 w:val="020B0606030504020204"/>
  </w:font>
  <w:font w:name="Lohit Devanagari">
    <w:panose1 w:val="020B0600000000000000"/>
  </w:font>
  <w:font w:name="Courier New">
    <w:panose1 w:val="020704090202050204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2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2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15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17;o:allowoverlap:true;o:allowincell:fals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2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15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  <w:ind w:right="360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2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0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2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0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4" name="Врезка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2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15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17;o:allowoverlap:true;o:allowincell:fals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2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15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8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5" name="Врезка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2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1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28;o:allowoverlap:true;o:allowincell:false;mso-position-horizontal-relative:margin;mso-position-horizontal:center;mso-position-vertical-relative:text;margin-top:0.05pt;mso-position-vertical:absolute;width:6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2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1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7" behindDoc="0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bothSides"/>
              <wp:docPr id="6" name="Врезка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2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11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27;o:allowoverlap:true;o:allowincell:false;mso-position-horizontal-relative:margin;mso-position-horizontal:center;mso-position-vertical-relative:text;margin-top:0.05pt;mso-position-vertical:absolute;width:12.05pt;height:13.80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2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11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947"/>
                            <w:rPr>
                              <w:rStyle w:val="924"/>
                            </w:rPr>
                          </w:pPr>
                          <w:r>
                            <w:rPr>
                              <w:rStyle w:val="924"/>
                            </w:rPr>
                            <w:fldChar w:fldCharType="begin"/>
                          </w:r>
                          <w:r>
                            <w:rPr>
                              <w:rStyle w:val="924"/>
                            </w:rPr>
                            <w:instrText xml:space="preserve"> PAGE </w:instrText>
                          </w:r>
                          <w:r>
                            <w:rPr>
                              <w:rStyle w:val="924"/>
                            </w:rPr>
                            <w:fldChar w:fldCharType="separate"/>
                          </w:r>
                          <w:r>
                            <w:rPr>
                              <w:rStyle w:val="924"/>
                            </w:rPr>
                            <w:t xml:space="preserve">0</w:t>
                          </w:r>
                          <w:r>
                            <w:rPr>
                              <w:rStyle w:val="924"/>
                            </w:rPr>
                            <w:fldChar w:fldCharType="end"/>
                          </w:r>
                          <w:r>
                            <w:rPr>
                              <w:rStyle w:val="924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0;o:allowoverlap:true;o:allowincell:tru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color="#FFFFFF">
              <v:fill opacity="100f"/>
              <w10:wrap type="square"/>
              <v:textbox inset="0,0,0,0">
                <w:txbxContent>
                  <w:p>
                    <w:pPr>
                      <w:pStyle w:val="947"/>
                      <w:rPr>
                        <w:rStyle w:val="924"/>
                      </w:rPr>
                    </w:pPr>
                    <w:r>
                      <w:rPr>
                        <w:rStyle w:val="924"/>
                      </w:rPr>
                      <w:fldChar w:fldCharType="begin"/>
                    </w:r>
                    <w:r>
                      <w:rPr>
                        <w:rStyle w:val="924"/>
                      </w:rPr>
                      <w:instrText xml:space="preserve"> PAGE </w:instrText>
                    </w:r>
                    <w:r>
                      <w:rPr>
                        <w:rStyle w:val="924"/>
                      </w:rPr>
                      <w:fldChar w:fldCharType="separate"/>
                    </w:r>
                    <w:r>
                      <w:rPr>
                        <w:rStyle w:val="924"/>
                      </w:rPr>
                      <w:t xml:space="preserve">0</w:t>
                    </w:r>
                    <w:r>
                      <w:rPr>
                        <w:rStyle w:val="924"/>
                      </w:rPr>
                      <w:fldChar w:fldCharType="end"/>
                    </w:r>
                    <w:r>
                      <w:rPr>
                        <w:rStyle w:val="924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7"/>
    </w:pPr>
    <w:r/>
    <w:r/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9" w:firstLine="136"/>
        <w:tabs>
          <w:tab w:val="num" w:pos="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)"/>
      <w:lvlJc w:val="left"/>
      <w:pPr>
        <w:ind w:left="2215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)"/>
      <w:lvlJc w:val="left"/>
      <w:pPr>
        <w:ind w:left="2935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55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75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95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815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35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55" w:hanging="180"/>
        <w:tabs>
          <w:tab w:val="num" w:pos="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23"/>
    <w:link w:val="91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23"/>
    <w:link w:val="91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23"/>
    <w:link w:val="91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923"/>
    <w:link w:val="91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923"/>
    <w:link w:val="91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23"/>
    <w:link w:val="91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23"/>
    <w:link w:val="9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23"/>
    <w:link w:val="92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23"/>
    <w:link w:val="92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923"/>
    <w:link w:val="943"/>
    <w:uiPriority w:val="10"/>
    <w:rPr>
      <w:sz w:val="48"/>
      <w:szCs w:val="48"/>
    </w:rPr>
  </w:style>
  <w:style w:type="character" w:styleId="37">
    <w:name w:val="Subtitle Char"/>
    <w:basedOn w:val="923"/>
    <w:link w:val="955"/>
    <w:uiPriority w:val="11"/>
    <w:rPr>
      <w:sz w:val="24"/>
      <w:szCs w:val="24"/>
    </w:rPr>
  </w:style>
  <w:style w:type="paragraph" w:styleId="38">
    <w:name w:val="Quote"/>
    <w:basedOn w:val="913"/>
    <w:next w:val="9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913"/>
    <w:next w:val="9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923"/>
    <w:link w:val="947"/>
    <w:uiPriority w:val="99"/>
  </w:style>
  <w:style w:type="character" w:styleId="45">
    <w:name w:val="Footer Char"/>
    <w:basedOn w:val="923"/>
    <w:link w:val="942"/>
    <w:uiPriority w:val="99"/>
  </w:style>
  <w:style w:type="character" w:styleId="47">
    <w:name w:val="Caption Char"/>
    <w:basedOn w:val="939"/>
    <w:link w:val="942"/>
    <w:uiPriority w:val="99"/>
  </w:style>
  <w:style w:type="table" w:styleId="49">
    <w:name w:val="Table Grid Light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9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9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9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9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9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923"/>
    <w:uiPriority w:val="99"/>
    <w:unhideWhenUsed/>
    <w:rPr>
      <w:vertAlign w:val="superscript"/>
    </w:rPr>
  </w:style>
  <w:style w:type="paragraph" w:styleId="178">
    <w:name w:val="endnote text"/>
    <w:basedOn w:val="9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923"/>
    <w:uiPriority w:val="99"/>
    <w:semiHidden/>
    <w:unhideWhenUsed/>
    <w:rPr>
      <w:vertAlign w:val="superscript"/>
    </w:rPr>
  </w:style>
  <w:style w:type="paragraph" w:styleId="181">
    <w:name w:val="toc 1"/>
    <w:basedOn w:val="913"/>
    <w:next w:val="9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913"/>
    <w:next w:val="9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913"/>
    <w:next w:val="9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913"/>
    <w:next w:val="9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913"/>
    <w:next w:val="9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913"/>
    <w:next w:val="9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913"/>
    <w:next w:val="9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913"/>
    <w:next w:val="9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913"/>
    <w:next w:val="9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913"/>
    <w:next w:val="913"/>
    <w:uiPriority w:val="99"/>
    <w:unhideWhenUsed/>
    <w:pPr>
      <w:spacing w:after="0" w:afterAutospacing="0"/>
    </w:pPr>
  </w:style>
  <w:style w:type="paragraph" w:styleId="91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14">
    <w:name w:val="Heading 1"/>
    <w:basedOn w:val="913"/>
    <w:next w:val="913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15">
    <w:name w:val="Heading 2"/>
    <w:basedOn w:val="913"/>
    <w:next w:val="913"/>
    <w:qFormat/>
    <w:pPr>
      <w:jc w:val="center"/>
      <w:keepNext/>
      <w:outlineLvl w:val="1"/>
    </w:pPr>
    <w:rPr>
      <w:bCs/>
      <w:sz w:val="28"/>
    </w:rPr>
  </w:style>
  <w:style w:type="paragraph" w:styleId="916">
    <w:name w:val="Heading 3"/>
    <w:basedOn w:val="913"/>
    <w:next w:val="913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17">
    <w:name w:val="Heading 4"/>
    <w:basedOn w:val="913"/>
    <w:next w:val="913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18">
    <w:name w:val="Heading 5"/>
    <w:basedOn w:val="913"/>
    <w:next w:val="913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19">
    <w:name w:val="Heading 6"/>
    <w:basedOn w:val="913"/>
    <w:next w:val="913"/>
    <w:qFormat/>
    <w:pPr>
      <w:jc w:val="center"/>
      <w:keepLines/>
      <w:keepNext/>
      <w:tabs>
        <w:tab w:val="left" w:pos="0" w:leader="none"/>
        <w:tab w:val="clear" w:pos="708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</w:tabs>
      <w:outlineLvl w:val="5"/>
    </w:pPr>
    <w:rPr>
      <w:i/>
      <w:sz w:val="28"/>
    </w:rPr>
  </w:style>
  <w:style w:type="paragraph" w:styleId="920">
    <w:name w:val="Heading 7"/>
    <w:basedOn w:val="913"/>
    <w:next w:val="913"/>
    <w:qFormat/>
    <w:pPr>
      <w:ind w:left="360"/>
      <w:jc w:val="center"/>
      <w:keepNext/>
      <w:outlineLvl w:val="6"/>
    </w:pPr>
    <w:rPr>
      <w:b/>
      <w:sz w:val="28"/>
    </w:rPr>
  </w:style>
  <w:style w:type="paragraph" w:styleId="921">
    <w:name w:val="Heading 8"/>
    <w:basedOn w:val="913"/>
    <w:next w:val="913"/>
    <w:qFormat/>
    <w:pPr>
      <w:jc w:val="center"/>
      <w:keepNext/>
      <w:spacing w:line="360" w:lineRule="auto"/>
      <w:outlineLvl w:val="7"/>
    </w:pPr>
    <w:rPr>
      <w:b/>
      <w:sz w:val="36"/>
    </w:rPr>
  </w:style>
  <w:style w:type="paragraph" w:styleId="922">
    <w:name w:val="Heading 9"/>
    <w:basedOn w:val="913"/>
    <w:next w:val="913"/>
    <w:qFormat/>
    <w:pPr>
      <w:ind w:firstLine="709"/>
      <w:jc w:val="both"/>
      <w:keepNext/>
      <w:outlineLvl w:val="8"/>
    </w:pPr>
    <w:rPr>
      <w:sz w:val="24"/>
    </w:rPr>
  </w:style>
  <w:style w:type="character" w:styleId="923" w:default="1">
    <w:name w:val="Default Paragraph Font"/>
    <w:uiPriority w:val="1"/>
    <w:semiHidden/>
    <w:unhideWhenUsed/>
    <w:qFormat/>
  </w:style>
  <w:style w:type="character" w:styleId="924">
    <w:name w:val="page number"/>
    <w:basedOn w:val="923"/>
    <w:qFormat/>
  </w:style>
  <w:style w:type="character" w:styleId="925" w:customStyle="1">
    <w:name w:val="Iniiaiie o?eoo"/>
    <w:qFormat/>
  </w:style>
  <w:style w:type="character" w:styleId="926" w:customStyle="1">
    <w:name w:val="Стандартный HTML Знак"/>
    <w:link w:val="959"/>
    <w:qFormat/>
    <w:rPr>
      <w:rFonts w:ascii="Courier New" w:hAnsi="Courier New" w:cs="Courier New"/>
      <w:lang w:eastAsia="ar-SA"/>
    </w:rPr>
  </w:style>
  <w:style w:type="character" w:styleId="927" w:customStyle="1">
    <w:name w:val="Нижний колонтитул Знак"/>
    <w:uiPriority w:val="99"/>
    <w:qFormat/>
    <w:rPr>
      <w:sz w:val="24"/>
    </w:rPr>
  </w:style>
  <w:style w:type="character" w:styleId="928">
    <w:name w:val="Hyperlink"/>
    <w:rPr>
      <w:color w:val="0000ff"/>
      <w:u w:val="single"/>
    </w:rPr>
  </w:style>
  <w:style w:type="character" w:styleId="929">
    <w:name w:val="Strong"/>
    <w:qFormat/>
    <w:rPr>
      <w:b/>
      <w:bCs/>
    </w:rPr>
  </w:style>
  <w:style w:type="character" w:styleId="930">
    <w:name w:val="annotation reference"/>
    <w:basedOn w:val="923"/>
    <w:uiPriority w:val="99"/>
    <w:semiHidden/>
    <w:unhideWhenUsed/>
    <w:qFormat/>
    <w:rPr>
      <w:sz w:val="16"/>
      <w:szCs w:val="16"/>
    </w:rPr>
  </w:style>
  <w:style w:type="character" w:styleId="931" w:customStyle="1">
    <w:name w:val="Текст примечания Знак"/>
    <w:basedOn w:val="923"/>
    <w:link w:val="966"/>
    <w:uiPriority w:val="99"/>
    <w:semiHidden/>
    <w:qFormat/>
  </w:style>
  <w:style w:type="character" w:styleId="932" w:customStyle="1">
    <w:name w:val="Тема примечания Знак"/>
    <w:basedOn w:val="931"/>
    <w:link w:val="967"/>
    <w:uiPriority w:val="99"/>
    <w:semiHidden/>
    <w:qFormat/>
    <w:rPr>
      <w:b/>
      <w:bCs/>
    </w:rPr>
  </w:style>
  <w:style w:type="character" w:styleId="933" w:customStyle="1">
    <w:name w:val="Основной текст (5)_"/>
    <w:link w:val="969"/>
    <w:uiPriority w:val="99"/>
    <w:qFormat/>
    <w:rPr>
      <w:b/>
      <w:shd w:val="clear" w:color="auto" w:fill="ffffff"/>
    </w:rPr>
  </w:style>
  <w:style w:type="character" w:styleId="934" w:customStyle="1">
    <w:name w:val="Основной текст (4) Exact"/>
    <w:uiPriority w:val="99"/>
    <w:qFormat/>
    <w:rPr>
      <w:rFonts w:ascii="Times New Roman" w:hAnsi="Times New Roman"/>
      <w:sz w:val="22"/>
      <w:u w:val="none"/>
    </w:rPr>
  </w:style>
  <w:style w:type="character" w:styleId="935" w:customStyle="1">
    <w:name w:val="Основной текст (2) + 11 pt"/>
    <w:uiPriority w:val="99"/>
    <w:qFormat/>
    <w:rPr>
      <w:rFonts w:ascii="Times New Roman" w:hAnsi="Times New Roman"/>
      <w:color w:val="000000"/>
      <w:spacing w:val="0"/>
      <w:sz w:val="22"/>
      <w:u w:val="none"/>
      <w:shd w:val="clear" w:color="auto" w:fill="ffffff"/>
      <w:lang w:val="ru-RU" w:eastAsia="ru-RU"/>
    </w:rPr>
  </w:style>
  <w:style w:type="paragraph" w:styleId="936">
    <w:name w:val="Заголовок"/>
    <w:basedOn w:val="913"/>
    <w:next w:val="937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937">
    <w:name w:val="Body Text"/>
    <w:basedOn w:val="913"/>
    <w:pPr>
      <w:jc w:val="both"/>
      <w:spacing w:line="360" w:lineRule="auto"/>
      <w:tabs>
        <w:tab w:val="clear" w:pos="708" w:leader="none"/>
        <w:tab w:val="left" w:pos="1080" w:leader="none"/>
      </w:tabs>
    </w:pPr>
    <w:rPr>
      <w:b/>
      <w:sz w:val="24"/>
    </w:rPr>
  </w:style>
  <w:style w:type="paragraph" w:styleId="938">
    <w:name w:val="List"/>
    <w:basedOn w:val="937"/>
    <w:rPr>
      <w:rFonts w:cs="Lohit Devanagari"/>
    </w:rPr>
  </w:style>
  <w:style w:type="paragraph" w:styleId="939">
    <w:name w:val="Caption"/>
    <w:basedOn w:val="91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940">
    <w:name w:val="Указатель"/>
    <w:basedOn w:val="913"/>
    <w:qFormat/>
    <w:pPr>
      <w:suppressLineNumbers/>
    </w:pPr>
    <w:rPr>
      <w:rFonts w:cs="Lohit Devanagari"/>
    </w:rPr>
  </w:style>
  <w:style w:type="paragraph" w:styleId="941">
    <w:name w:val="Колонтитул"/>
    <w:basedOn w:val="913"/>
    <w:qFormat/>
  </w:style>
  <w:style w:type="paragraph" w:styleId="942">
    <w:name w:val="Footer"/>
    <w:basedOn w:val="913"/>
    <w:link w:val="927"/>
    <w:uiPriority w:val="99"/>
    <w:pPr>
      <w:tabs>
        <w:tab w:val="clear" w:pos="708" w:leader="none"/>
        <w:tab w:val="center" w:pos="4677" w:leader="none"/>
        <w:tab w:val="right" w:pos="9355" w:leader="none"/>
      </w:tabs>
    </w:pPr>
    <w:rPr>
      <w:sz w:val="24"/>
    </w:rPr>
  </w:style>
  <w:style w:type="paragraph" w:styleId="943">
    <w:name w:val="Title"/>
    <w:basedOn w:val="913"/>
    <w:qFormat/>
    <w:pPr>
      <w:jc w:val="center"/>
    </w:pPr>
    <w:rPr>
      <w:b/>
      <w:sz w:val="28"/>
    </w:rPr>
  </w:style>
  <w:style w:type="paragraph" w:styleId="944">
    <w:name w:val="Body Text Indent 2"/>
    <w:basedOn w:val="913"/>
    <w:qFormat/>
    <w:pPr>
      <w:ind w:left="737" w:hanging="360"/>
      <w:jc w:val="both"/>
      <w:spacing w:line="360" w:lineRule="auto"/>
      <w:tabs>
        <w:tab w:val="clear" w:pos="708" w:leader="none"/>
        <w:tab w:val="left" w:pos="720" w:leader="none"/>
        <w:tab w:val="left" w:pos="1080" w:leader="none"/>
      </w:tabs>
    </w:pPr>
    <w:rPr>
      <w:sz w:val="28"/>
    </w:rPr>
  </w:style>
  <w:style w:type="paragraph" w:styleId="945">
    <w:name w:val="Body Text Indent 3"/>
    <w:basedOn w:val="913"/>
    <w:qFormat/>
    <w:pPr>
      <w:ind w:left="283"/>
      <w:spacing w:before="0" w:after="120"/>
    </w:pPr>
    <w:rPr>
      <w:sz w:val="16"/>
      <w:szCs w:val="16"/>
    </w:rPr>
  </w:style>
  <w:style w:type="paragraph" w:styleId="946">
    <w:name w:val="Body Text Indent"/>
    <w:basedOn w:val="913"/>
    <w:pPr>
      <w:ind w:left="283"/>
      <w:spacing w:before="0" w:after="120"/>
    </w:pPr>
  </w:style>
  <w:style w:type="paragraph" w:styleId="947">
    <w:name w:val="Header"/>
    <w:basedOn w:val="913"/>
    <w:pPr>
      <w:tabs>
        <w:tab w:val="clear" w:pos="708" w:leader="none"/>
        <w:tab w:val="center" w:pos="4677" w:leader="none"/>
        <w:tab w:val="right" w:pos="9355" w:leader="none"/>
      </w:tabs>
    </w:pPr>
    <w:rPr>
      <w:sz w:val="24"/>
    </w:rPr>
  </w:style>
  <w:style w:type="paragraph" w:styleId="948" w:customStyle="1">
    <w:name w:val="caaieiaie 1"/>
    <w:basedOn w:val="913"/>
    <w:next w:val="913"/>
    <w:qFormat/>
    <w:pPr>
      <w:jc w:val="center"/>
      <w:keepNext/>
      <w:widowControl w:val="off"/>
    </w:pPr>
    <w:rPr>
      <w:b/>
      <w:sz w:val="28"/>
      <w:u w:val="single"/>
    </w:rPr>
  </w:style>
  <w:style w:type="paragraph" w:styleId="949" w:customStyle="1">
    <w:name w:val="Основной текст 21"/>
    <w:basedOn w:val="913"/>
    <w:qFormat/>
    <w:pPr>
      <w:jc w:val="both"/>
      <w:tabs>
        <w:tab w:val="left" w:pos="0" w:leader="none"/>
        <w:tab w:val="left" w:pos="360" w:leader="none"/>
        <w:tab w:val="clear" w:pos="708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</w:pPr>
    <w:rPr>
      <w:spacing w:val="-3"/>
      <w:sz w:val="24"/>
    </w:rPr>
  </w:style>
  <w:style w:type="paragraph" w:styleId="950" w:customStyle="1">
    <w:name w:val="Основной текст с отступом 21"/>
    <w:basedOn w:val="913"/>
    <w:qFormat/>
    <w:pPr>
      <w:ind w:firstLine="709"/>
      <w:jc w:val="both"/>
    </w:pPr>
    <w:rPr>
      <w:sz w:val="28"/>
    </w:rPr>
  </w:style>
  <w:style w:type="paragraph" w:styleId="951" w:customStyle="1">
    <w:name w:val="Основной текст с отступом 31"/>
    <w:basedOn w:val="913"/>
    <w:qFormat/>
    <w:pPr>
      <w:ind w:firstLine="709"/>
    </w:pPr>
    <w:rPr>
      <w:sz w:val="28"/>
    </w:rPr>
  </w:style>
  <w:style w:type="paragraph" w:styleId="952" w:customStyle="1">
    <w:name w:val="Основной текст 31"/>
    <w:basedOn w:val="913"/>
    <w:qFormat/>
    <w:pPr>
      <w:jc w:val="both"/>
      <w:tabs>
        <w:tab w:val="left" w:pos="0" w:leader="none"/>
        <w:tab w:val="clear" w:pos="708" w:leader="none"/>
        <w:tab w:val="left" w:pos="720" w:leader="none"/>
        <w:tab w:val="left" w:pos="1440" w:leader="none"/>
        <w:tab w:val="left" w:pos="2160" w:leader="none"/>
        <w:tab w:val="left" w:pos="288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  <w:tab w:val="left" w:pos="9360" w:leader="none"/>
      </w:tabs>
    </w:pPr>
    <w:rPr>
      <w:spacing w:val="-3"/>
      <w:sz w:val="22"/>
    </w:rPr>
  </w:style>
  <w:style w:type="paragraph" w:styleId="953" w:customStyle="1">
    <w:name w:val="caaieiaie 2"/>
    <w:basedOn w:val="913"/>
    <w:next w:val="913"/>
    <w:qFormat/>
    <w:pPr>
      <w:jc w:val="both"/>
      <w:keepNext/>
    </w:pPr>
    <w:rPr>
      <w:sz w:val="28"/>
    </w:rPr>
  </w:style>
  <w:style w:type="paragraph" w:styleId="954" w:customStyle="1">
    <w:name w:val="caaieiaie 3"/>
    <w:basedOn w:val="913"/>
    <w:next w:val="913"/>
    <w:qFormat/>
    <w:pPr>
      <w:keepNext/>
    </w:pPr>
    <w:rPr>
      <w:sz w:val="28"/>
    </w:rPr>
  </w:style>
  <w:style w:type="paragraph" w:styleId="955">
    <w:name w:val="Subtitle"/>
    <w:basedOn w:val="913"/>
    <w:qFormat/>
    <w:pPr>
      <w:jc w:val="center"/>
    </w:pPr>
    <w:rPr>
      <w:b/>
      <w:bCs/>
      <w:color w:val="000000"/>
      <w:sz w:val="24"/>
      <w:szCs w:val="24"/>
    </w:rPr>
  </w:style>
  <w:style w:type="paragraph" w:styleId="956">
    <w:name w:val="Body Text 3"/>
    <w:basedOn w:val="913"/>
    <w:qFormat/>
    <w:rPr>
      <w:b/>
      <w:bCs/>
      <w:color w:val="000000"/>
      <w:sz w:val="28"/>
      <w:szCs w:val="28"/>
    </w:rPr>
  </w:style>
  <w:style w:type="paragraph" w:styleId="957">
    <w:name w:val="Body Text 2"/>
    <w:basedOn w:val="913"/>
    <w:qFormat/>
    <w:pPr>
      <w:jc w:val="center"/>
      <w:spacing w:line="360" w:lineRule="auto"/>
    </w:pPr>
    <w:rPr>
      <w:b/>
      <w:i/>
      <w:iCs/>
      <w:sz w:val="32"/>
    </w:rPr>
  </w:style>
  <w:style w:type="paragraph" w:styleId="958" w:customStyle="1">
    <w:name w:val="заголовок 1"/>
    <w:basedOn w:val="913"/>
    <w:next w:val="913"/>
    <w:qFormat/>
    <w:pPr>
      <w:jc w:val="both"/>
      <w:keepNext/>
      <w:outlineLvl w:val="0"/>
    </w:pPr>
    <w:rPr>
      <w:szCs w:val="24"/>
    </w:rPr>
  </w:style>
  <w:style w:type="paragraph" w:styleId="959">
    <w:name w:val="HTML Preformatted"/>
    <w:basedOn w:val="913"/>
    <w:link w:val="926"/>
    <w:qFormat/>
    <w:pPr>
      <w:tabs>
        <w:tab w:val="clear" w:pos="708" w:leader="none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lang w:eastAsia="ar-SA"/>
    </w:rPr>
  </w:style>
  <w:style w:type="paragraph" w:styleId="960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961">
    <w:name w:val="Balloon Text"/>
    <w:basedOn w:val="913"/>
    <w:semiHidden/>
    <w:qFormat/>
    <w:rPr>
      <w:rFonts w:ascii="Tahoma" w:hAnsi="Tahoma" w:cs="Tahoma"/>
      <w:sz w:val="16"/>
      <w:szCs w:val="16"/>
    </w:rPr>
  </w:style>
  <w:style w:type="paragraph" w:styleId="962" w:customStyle="1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Arial"/>
      <w:color w:val="auto"/>
      <w:sz w:val="20"/>
      <w:szCs w:val="20"/>
      <w:lang w:val="ru-RU" w:eastAsia="ru-RU" w:bidi="ar-SA"/>
    </w:rPr>
  </w:style>
  <w:style w:type="paragraph" w:styleId="963" w:customStyle="1">
    <w:name w:val="ConsPlusTitle"/>
    <w:basedOn w:val="913"/>
    <w:next w:val="960"/>
    <w:qFormat/>
    <w:pPr>
      <w:widowControl w:val="off"/>
    </w:pPr>
    <w:rPr>
      <w:rFonts w:ascii="Arial" w:hAnsi="Arial" w:eastAsia="Arial" w:cs="Arial"/>
      <w:b/>
      <w:bCs/>
    </w:rPr>
  </w:style>
  <w:style w:type="paragraph" w:styleId="964" w:customStyle="1">
    <w:name w:val="ConsPlusNonformat"/>
    <w:qFormat/>
    <w:pPr>
      <w:jc w:val="left"/>
      <w:spacing w:before="0" w:after="0"/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ru-RU" w:bidi="ar-SA"/>
    </w:rPr>
  </w:style>
  <w:style w:type="paragraph" w:styleId="965" w:customStyle="1">
    <w:name w:val="s_1"/>
    <w:basedOn w:val="913"/>
    <w:qFormat/>
    <w:pPr>
      <w:spacing w:beforeAutospacing="1" w:afterAutospacing="1"/>
    </w:pPr>
    <w:rPr>
      <w:sz w:val="24"/>
      <w:szCs w:val="24"/>
    </w:rPr>
  </w:style>
  <w:style w:type="paragraph" w:styleId="966">
    <w:name w:val="annotation text"/>
    <w:basedOn w:val="913"/>
    <w:link w:val="931"/>
    <w:uiPriority w:val="99"/>
    <w:semiHidden/>
    <w:unhideWhenUsed/>
    <w:qFormat/>
  </w:style>
  <w:style w:type="paragraph" w:styleId="967">
    <w:name w:val="annotation subject"/>
    <w:basedOn w:val="966"/>
    <w:next w:val="966"/>
    <w:link w:val="932"/>
    <w:uiPriority w:val="99"/>
    <w:semiHidden/>
    <w:unhideWhenUsed/>
    <w:qFormat/>
    <w:rPr>
      <w:b/>
      <w:bCs/>
    </w:rPr>
  </w:style>
  <w:style w:type="paragraph" w:styleId="968">
    <w:name w:val="List Paragraph"/>
    <w:basedOn w:val="913"/>
    <w:uiPriority w:val="34"/>
    <w:qFormat/>
    <w:pPr>
      <w:contextualSpacing/>
      <w:ind w:left="720"/>
      <w:spacing w:before="0"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969" w:customStyle="1">
    <w:name w:val="Основной текст (5)"/>
    <w:basedOn w:val="913"/>
    <w:link w:val="933"/>
    <w:uiPriority w:val="99"/>
    <w:qFormat/>
    <w:pPr>
      <w:spacing w:before="0" w:after="60" w:line="240" w:lineRule="atLeast"/>
      <w:shd w:val="clear" w:color="auto" w:fill="ffffff"/>
      <w:widowControl w:val="off"/>
    </w:pPr>
    <w:rPr>
      <w:b/>
    </w:rPr>
  </w:style>
  <w:style w:type="paragraph" w:styleId="970">
    <w:name w:val="Содержимое врезки"/>
    <w:basedOn w:val="913"/>
    <w:qFormat/>
  </w:style>
  <w:style w:type="numbering" w:styleId="971" w:default="1">
    <w:name w:val="No List"/>
    <w:uiPriority w:val="99"/>
    <w:semiHidden/>
    <w:unhideWhenUsed/>
    <w:qFormat/>
  </w:style>
  <w:style w:type="table" w:styleId="97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973">
    <w:name w:val="Table Grid"/>
    <w:basedOn w:val="97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header" Target="header7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footer" Target="footer3.xml" /><Relationship Id="rId19" Type="http://schemas.openxmlformats.org/officeDocument/2006/relationships/footer" Target="footer4.xml" /><Relationship Id="rId20" Type="http://schemas.openxmlformats.org/officeDocument/2006/relationships/footer" Target="footer5.xml" /><Relationship Id="rId21" Type="http://schemas.openxmlformats.org/officeDocument/2006/relationships/footer" Target="footer6.xml" /><Relationship Id="rId22" Type="http://schemas.openxmlformats.org/officeDocument/2006/relationships/footer" Target="footer7.xml" /><Relationship Id="rId23" Type="http://schemas.openxmlformats.org/officeDocument/2006/relationships/customXml" Target="../customXml/item1.xml" /><Relationship Id="rId24" Type="http://schemas.openxmlformats.org/officeDocument/2006/relationships/hyperlink" Target="http://www.egrul.nalog.ru/" TargetMode="External"/><Relationship Id="rId25" Type="http://schemas.openxmlformats.org/officeDocument/2006/relationships/hyperlink" Target="http://www.arbitr.ru/" TargetMode="External"/><Relationship Id="rId26" Type="http://schemas.openxmlformats.org/officeDocument/2006/relationships/hyperlink" Target="consultantplus://offline/ref=8301FB13C3BFFFC62CA8CF3C37AC0CC249F746AF7864CD9EEC78DF794AB47F4BE4D995BAC1AF7963X8W1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er7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FA9E-732E-488D-8902-F048E7A2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Hewlett-Packard Company</Company>
  <Template>Конкурсная документация 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kunaeva</dc:creator>
  <dc:description/>
  <dc:language>ru-RU</dc:language>
  <cp:revision>9</cp:revision>
  <dcterms:created xsi:type="dcterms:W3CDTF">2024-03-07T10:33:00Z</dcterms:created>
  <dcterms:modified xsi:type="dcterms:W3CDTF">2025-04-01T08:25:44Z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